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7FA811" w14:textId="2F4EA397" w:rsidR="00E203C2" w:rsidRDefault="00E203C2" w:rsidP="00E203C2">
      <w:bookmarkStart w:id="0" w:name="_GoBack"/>
      <w:bookmarkEnd w:id="0"/>
      <w:r>
        <w:rPr>
          <w:noProof/>
          <w:lang w:eastAsia="en-GB" w:bidi="ar-SA"/>
        </w:rPr>
        <w:drawing>
          <wp:inline distT="0" distB="0" distL="0" distR="0" wp14:anchorId="77D8FD39" wp14:editId="76E6A8C6">
            <wp:extent cx="3488400" cy="612000"/>
            <wp:effectExtent l="0" t="0" r="0" b="0"/>
            <wp:docPr id="3" name="Picture 3"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p>
    <w:p w14:paraId="1034F4D4" w14:textId="77777777" w:rsidR="00CF2097" w:rsidRDefault="00CF2097" w:rsidP="00CF2097"/>
    <w:p w14:paraId="5AA11A8B" w14:textId="77777777" w:rsidR="00CF2097" w:rsidRDefault="00CF2097" w:rsidP="00CF2097">
      <w:pPr>
        <w:tabs>
          <w:tab w:val="left" w:pos="851"/>
        </w:tabs>
        <w:rPr>
          <w:b/>
          <w:sz w:val="28"/>
          <w:szCs w:val="28"/>
        </w:rPr>
      </w:pPr>
      <w:r>
        <w:rPr>
          <w:b/>
          <w:sz w:val="28"/>
          <w:szCs w:val="28"/>
        </w:rPr>
        <w:t>20 February 2017</w:t>
      </w:r>
    </w:p>
    <w:p w14:paraId="718422CE" w14:textId="77777777" w:rsidR="00CF2097" w:rsidRDefault="00CF2097" w:rsidP="00CF2097">
      <w:pPr>
        <w:rPr>
          <w:b/>
          <w:sz w:val="28"/>
          <w:szCs w:val="28"/>
        </w:rPr>
      </w:pPr>
      <w:r>
        <w:rPr>
          <w:b/>
          <w:sz w:val="28"/>
          <w:szCs w:val="28"/>
        </w:rPr>
        <w:t>[06–17]</w:t>
      </w:r>
    </w:p>
    <w:p w14:paraId="753830A5" w14:textId="77777777" w:rsidR="00CF2097" w:rsidRPr="00CF2097" w:rsidRDefault="00CF2097" w:rsidP="00CF2097">
      <w:pPr>
        <w:rPr>
          <w:b/>
        </w:rPr>
      </w:pPr>
    </w:p>
    <w:p w14:paraId="3CEDF31E" w14:textId="2F762981" w:rsidR="00092CDA" w:rsidRPr="005B7A73" w:rsidRDefault="00092CDA" w:rsidP="00690206">
      <w:pPr>
        <w:pStyle w:val="FSTitle"/>
        <w:rPr>
          <w:b/>
        </w:rPr>
      </w:pPr>
      <w:r w:rsidRPr="005B7A73">
        <w:rPr>
          <w:b/>
        </w:rPr>
        <w:t>S</w:t>
      </w:r>
      <w:r w:rsidR="00B12F1E" w:rsidRPr="005B7A73">
        <w:rPr>
          <w:b/>
        </w:rPr>
        <w:t>upporting document</w:t>
      </w:r>
      <w:r w:rsidRPr="005B7A73">
        <w:rPr>
          <w:b/>
        </w:rPr>
        <w:t xml:space="preserve"> </w:t>
      </w:r>
      <w:r w:rsidR="00690140" w:rsidRPr="00690140">
        <w:rPr>
          <w:b/>
        </w:rPr>
        <w:t>1</w:t>
      </w:r>
    </w:p>
    <w:p w14:paraId="0F94A356" w14:textId="77777777" w:rsidR="00BA24E2" w:rsidRDefault="00BA24E2" w:rsidP="00E203C2"/>
    <w:p w14:paraId="728A6A0C" w14:textId="5CC64CE6" w:rsidR="00797BF5" w:rsidRPr="00676CB9" w:rsidRDefault="00CF2097" w:rsidP="00797BF5">
      <w:pPr>
        <w:pStyle w:val="FSTitle"/>
        <w:rPr>
          <w:szCs w:val="32"/>
        </w:rPr>
      </w:pPr>
      <w:r>
        <w:rPr>
          <w:szCs w:val="32"/>
        </w:rPr>
        <w:t>Risk and t</w:t>
      </w:r>
      <w:r w:rsidR="003201DD" w:rsidRPr="00676CB9">
        <w:rPr>
          <w:szCs w:val="32"/>
        </w:rPr>
        <w:t>echnical Assessment Report</w:t>
      </w:r>
      <w:r w:rsidR="00797BF5" w:rsidRPr="00676CB9">
        <w:rPr>
          <w:szCs w:val="32"/>
        </w:rPr>
        <w:t xml:space="preserve"> – </w:t>
      </w:r>
      <w:r w:rsidR="00311D39" w:rsidRPr="00676CB9">
        <w:rPr>
          <w:szCs w:val="32"/>
        </w:rPr>
        <w:t>A112</w:t>
      </w:r>
      <w:r w:rsidR="00F554AE" w:rsidRPr="00676CB9">
        <w:rPr>
          <w:szCs w:val="32"/>
        </w:rPr>
        <w:t>6</w:t>
      </w:r>
    </w:p>
    <w:p w14:paraId="13C5261F" w14:textId="77777777" w:rsidR="00797BF5" w:rsidRPr="00CF2097" w:rsidRDefault="00797BF5" w:rsidP="00797BF5">
      <w:pPr>
        <w:pStyle w:val="FSTitle"/>
        <w:rPr>
          <w:sz w:val="22"/>
          <w:szCs w:val="32"/>
        </w:rPr>
      </w:pPr>
    </w:p>
    <w:p w14:paraId="57AB5C05" w14:textId="3D197255" w:rsidR="00E203C2" w:rsidRPr="00676CB9" w:rsidRDefault="00311D39" w:rsidP="00797BF5">
      <w:pPr>
        <w:pStyle w:val="FSTitle"/>
        <w:rPr>
          <w:szCs w:val="32"/>
        </w:rPr>
      </w:pPr>
      <w:r w:rsidRPr="00676CB9">
        <w:rPr>
          <w:szCs w:val="32"/>
        </w:rPr>
        <w:t xml:space="preserve">Pectins </w:t>
      </w:r>
      <w:r w:rsidR="00797BF5" w:rsidRPr="00676CB9">
        <w:rPr>
          <w:szCs w:val="32"/>
        </w:rPr>
        <w:t xml:space="preserve">&amp; </w:t>
      </w:r>
      <w:r w:rsidRPr="00676CB9">
        <w:rPr>
          <w:szCs w:val="32"/>
        </w:rPr>
        <w:t xml:space="preserve">Carrageenan as Processing Aids in </w:t>
      </w:r>
      <w:r w:rsidR="003201DD" w:rsidRPr="00676CB9">
        <w:rPr>
          <w:szCs w:val="32"/>
        </w:rPr>
        <w:t>W</w:t>
      </w:r>
      <w:r w:rsidRPr="00676CB9">
        <w:rPr>
          <w:szCs w:val="32"/>
        </w:rPr>
        <w:t>ine</w:t>
      </w:r>
      <w:r w:rsidR="003201DD" w:rsidRPr="00676CB9">
        <w:rPr>
          <w:szCs w:val="32"/>
        </w:rPr>
        <w:t xml:space="preserve"> (Fining Agent)</w:t>
      </w:r>
    </w:p>
    <w:p w14:paraId="713824B5" w14:textId="77777777" w:rsidR="00E203C2" w:rsidRPr="00B37BF0" w:rsidRDefault="00E203C2" w:rsidP="00E203C2">
      <w:pPr>
        <w:pBdr>
          <w:bottom w:val="single" w:sz="12" w:space="1" w:color="auto"/>
        </w:pBdr>
        <w:spacing w:line="280" w:lineRule="exact"/>
        <w:rPr>
          <w:rFonts w:cs="Arial"/>
          <w:bCs/>
        </w:rPr>
      </w:pPr>
    </w:p>
    <w:p w14:paraId="2035391E" w14:textId="77777777" w:rsidR="00092CDA" w:rsidRPr="00092CDA" w:rsidRDefault="00092CDA" w:rsidP="00D967D9">
      <w:pPr>
        <w:pStyle w:val="Heading1"/>
        <w:spacing w:before="0"/>
        <w:ind w:left="0" w:firstLine="0"/>
      </w:pPr>
      <w:bookmarkStart w:id="1" w:name="_Toc286391001"/>
      <w:bookmarkStart w:id="2" w:name="_Toc300933414"/>
      <w:bookmarkStart w:id="3" w:name="_Toc453078193"/>
      <w:bookmarkStart w:id="4" w:name="_Toc473045648"/>
      <w:r w:rsidRPr="00092CDA">
        <w:t xml:space="preserve">Executive </w:t>
      </w:r>
      <w:r w:rsidR="00B12F1E">
        <w:t>s</w:t>
      </w:r>
      <w:r w:rsidRPr="00092CDA">
        <w:t>ummary</w:t>
      </w:r>
      <w:bookmarkEnd w:id="1"/>
      <w:bookmarkEnd w:id="2"/>
      <w:bookmarkEnd w:id="3"/>
      <w:bookmarkEnd w:id="4"/>
    </w:p>
    <w:p w14:paraId="73C8C8B8" w14:textId="52EA606E" w:rsidR="00311D39" w:rsidRDefault="00311D39" w:rsidP="00311D39">
      <w:r>
        <w:t>FSANZ has assessed the evidence on the safety of pectins and carrageenan as processing aids in wine. The data provided with the Application, together with information from other sources, are considered adequate for hazard assessment.</w:t>
      </w:r>
    </w:p>
    <w:p w14:paraId="78C925FD" w14:textId="77777777" w:rsidR="00311D39" w:rsidRDefault="00311D39" w:rsidP="00311D39"/>
    <w:p w14:paraId="57C3515F" w14:textId="50856E62" w:rsidR="00311D39" w:rsidRDefault="00311D39" w:rsidP="00311D39">
      <w:r>
        <w:t xml:space="preserve">Both pectins and carrageenan have a long history of safe use in the human food supply, and are approved as food additives at GMP, in Schedule 16 </w:t>
      </w:r>
      <w:r w:rsidR="00797BF5">
        <w:t xml:space="preserve">– </w:t>
      </w:r>
      <w:r w:rsidR="00797BF5" w:rsidRPr="009E6D50">
        <w:t>Types of substances that may be used as food additives</w:t>
      </w:r>
      <w:r w:rsidR="00797BF5" w:rsidDel="00797BF5">
        <w:t xml:space="preserve"> </w:t>
      </w:r>
      <w:r w:rsidR="00797BF5">
        <w:t xml:space="preserve">in </w:t>
      </w:r>
      <w:r>
        <w:t xml:space="preserve">the </w:t>
      </w:r>
      <w:r w:rsidR="00797BF5" w:rsidRPr="00B21EBB">
        <w:rPr>
          <w:i/>
        </w:rPr>
        <w:t>Australia New Zealand Food Standards Code</w:t>
      </w:r>
      <w:r w:rsidR="00797BF5">
        <w:t xml:space="preserve"> (</w:t>
      </w:r>
      <w:r>
        <w:t>Code</w:t>
      </w:r>
      <w:r w:rsidR="00797BF5">
        <w:t>)</w:t>
      </w:r>
      <w:r>
        <w:t xml:space="preserve">. </w:t>
      </w:r>
    </w:p>
    <w:p w14:paraId="7B158A17" w14:textId="77777777" w:rsidR="00311D39" w:rsidRDefault="00311D39" w:rsidP="00311D39"/>
    <w:p w14:paraId="045F99BB" w14:textId="29E888A9" w:rsidR="00311D39" w:rsidRDefault="00311D39" w:rsidP="00311D39">
      <w:r>
        <w:t>The evidence presented to support the proposed use provides adequate assurance that pectins and carrageenan are technologically effective as fining agents in wine manufacture and provide alternatives to the use of bentonite for this purpose. The residual levels in wine are very low and do not perform any technological purpose in the final product. There are identity and purity specifications for pectins and carrageenan in the primary reference sources listed in Schedule 3</w:t>
      </w:r>
      <w:r w:rsidR="00797BF5">
        <w:t xml:space="preserve"> – </w:t>
      </w:r>
      <w:r w:rsidR="00797BF5" w:rsidRPr="00E71572">
        <w:t>Identity and purity</w:t>
      </w:r>
      <w:r>
        <w:t>.</w:t>
      </w:r>
    </w:p>
    <w:p w14:paraId="62995AB2" w14:textId="77777777" w:rsidR="00311D39" w:rsidRDefault="00311D39" w:rsidP="00311D39"/>
    <w:p w14:paraId="31DC2CE8" w14:textId="5F652034" w:rsidR="00311D39" w:rsidRDefault="00311D39" w:rsidP="00311D39">
      <w:r>
        <w:t>Pectins are resistant to digestion in the small intestine but are broken down by intestinal flora, with no adverse effects of metabolites identified. Carrageenan is not broken down in the gastrointestinal tract.</w:t>
      </w:r>
      <w:r w:rsidR="00D967D9">
        <w:t xml:space="preserve"> </w:t>
      </w:r>
      <w:r>
        <w:t xml:space="preserve">Neither pectins nor carrageenan are genotoxic. </w:t>
      </w:r>
    </w:p>
    <w:p w14:paraId="66B389EF" w14:textId="77777777" w:rsidR="00311D39" w:rsidRDefault="00311D39" w:rsidP="00311D39"/>
    <w:p w14:paraId="10BF84DF" w14:textId="4095BB3B" w:rsidR="00311D39" w:rsidRDefault="00985B4E" w:rsidP="00311D39">
      <w:r>
        <w:t>A r</w:t>
      </w:r>
      <w:r w:rsidR="00311D39">
        <w:t>eview of recent animal and human studies by JECFA in 2015 did not identify any adverse effects</w:t>
      </w:r>
      <w:r w:rsidR="0064336B">
        <w:t xml:space="preserve"> relevant to human health risk assessment</w:t>
      </w:r>
      <w:r w:rsidR="00311D39">
        <w:t xml:space="preserve"> </w:t>
      </w:r>
      <w:r w:rsidR="0064336B">
        <w:t>for</w:t>
      </w:r>
      <w:r w:rsidR="00311D39">
        <w:t xml:space="preserve"> either pectins or carrageenan.</w:t>
      </w:r>
    </w:p>
    <w:p w14:paraId="1E5919D5" w14:textId="77777777" w:rsidR="00311D39" w:rsidRDefault="00311D39" w:rsidP="00311D39"/>
    <w:p w14:paraId="5B40CA68" w14:textId="77777777" w:rsidR="00311D39" w:rsidRDefault="00311D39" w:rsidP="00311D39">
      <w:r>
        <w:t xml:space="preserve">Allergic reactions to ingested pectins appear to be extremely rare and may represent cross-reaction with allergens of cashew nuts and/or pistachio nuts. There is no robust evidence of allergic reactions to ingested carrageenan.  </w:t>
      </w:r>
    </w:p>
    <w:p w14:paraId="5FA1E34D" w14:textId="77777777" w:rsidR="00311D39" w:rsidRDefault="00311D39" w:rsidP="00311D39"/>
    <w:p w14:paraId="019DE2C9" w14:textId="6099F3E9" w:rsidR="00092CDA" w:rsidRDefault="00311D39" w:rsidP="00311D39">
      <w:r>
        <w:t>Based on the reviewed toxicological data, it is concluded that in the absence of any identifiable hazard, an Acceptable Daily Intake (ADI) ‘not specified’ remains appropriate for both pectins and carrageenan.</w:t>
      </w:r>
    </w:p>
    <w:p w14:paraId="459161CA" w14:textId="77777777" w:rsidR="00D967D9" w:rsidRDefault="00D967D9" w:rsidP="00311D39"/>
    <w:p w14:paraId="4A3385AE" w14:textId="04823488" w:rsidR="00F766E3" w:rsidRDefault="00F766E3" w:rsidP="00F766E3">
      <w:r>
        <w:t>In conclusion, pectins and carrageenan achieve the technological function in the quantity and form proposed to be used as a food processing aid, and there are no public health and safety concerns from the use of pectins and carrageenan as processing aids in the manufacture of wine in Australia.</w:t>
      </w:r>
    </w:p>
    <w:p w14:paraId="0F66CF04" w14:textId="77777777" w:rsidR="00F766E3" w:rsidRDefault="00F766E3" w:rsidP="00F766E3">
      <w:pPr>
        <w:sectPr w:rsidR="00F766E3" w:rsidSect="003201DD">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9" w:footer="709" w:gutter="0"/>
          <w:pgNumType w:fmt="lowerRoman" w:start="1"/>
          <w:cols w:space="708"/>
          <w:docGrid w:linePitch="360"/>
        </w:sectPr>
      </w:pPr>
    </w:p>
    <w:sdt>
      <w:sdtPr>
        <w:rPr>
          <w:b w:val="0"/>
          <w:bCs w:val="0"/>
          <w:sz w:val="22"/>
          <w:szCs w:val="24"/>
          <w:lang w:bidi="en-US"/>
        </w:rPr>
        <w:id w:val="-184292200"/>
        <w:docPartObj>
          <w:docPartGallery w:val="Table of Contents"/>
          <w:docPartUnique/>
        </w:docPartObj>
      </w:sdtPr>
      <w:sdtEndPr>
        <w:rPr>
          <w:noProof/>
        </w:rPr>
      </w:sdtEndPr>
      <w:sdtContent>
        <w:p w14:paraId="04795DBE" w14:textId="299AEA26" w:rsidR="00034724" w:rsidRDefault="00034724">
          <w:pPr>
            <w:pStyle w:val="TOCHeading"/>
          </w:pPr>
          <w:r>
            <w:t xml:space="preserve">Table of </w:t>
          </w:r>
          <w:r w:rsidR="00797BF5">
            <w:t>c</w:t>
          </w:r>
          <w:r>
            <w:t>ontents</w:t>
          </w:r>
        </w:p>
        <w:p w14:paraId="59959823" w14:textId="77777777" w:rsidR="003201DD" w:rsidRDefault="00034724">
          <w:pPr>
            <w:pStyle w:val="TOC1"/>
            <w:tabs>
              <w:tab w:val="right" w:leader="dot" w:pos="9060"/>
            </w:tabs>
            <w:rPr>
              <w:rFonts w:eastAsiaTheme="minorEastAsia" w:cstheme="minorBidi"/>
              <w:b w:val="0"/>
              <w:bCs w:val="0"/>
              <w:caps w:val="0"/>
              <w:noProof/>
              <w:sz w:val="22"/>
              <w:szCs w:val="22"/>
              <w:lang w:val="en-NZ" w:eastAsia="en-NZ" w:bidi="ar-SA"/>
            </w:rPr>
          </w:pPr>
          <w:r>
            <w:fldChar w:fldCharType="begin"/>
          </w:r>
          <w:r>
            <w:instrText xml:space="preserve"> TOC \o "1-3" \h \z \u </w:instrText>
          </w:r>
          <w:r>
            <w:fldChar w:fldCharType="separate"/>
          </w:r>
          <w:hyperlink w:anchor="_Toc473045648" w:history="1">
            <w:r w:rsidR="003201DD" w:rsidRPr="00F40B60">
              <w:rPr>
                <w:rStyle w:val="Hyperlink"/>
                <w:noProof/>
              </w:rPr>
              <w:t>Executive summary</w:t>
            </w:r>
            <w:r w:rsidR="003201DD">
              <w:rPr>
                <w:noProof/>
                <w:webHidden/>
              </w:rPr>
              <w:tab/>
            </w:r>
            <w:r w:rsidR="003201DD">
              <w:rPr>
                <w:noProof/>
                <w:webHidden/>
              </w:rPr>
              <w:fldChar w:fldCharType="begin"/>
            </w:r>
            <w:r w:rsidR="003201DD">
              <w:rPr>
                <w:noProof/>
                <w:webHidden/>
              </w:rPr>
              <w:instrText xml:space="preserve"> PAGEREF _Toc473045648 \h </w:instrText>
            </w:r>
            <w:r w:rsidR="003201DD">
              <w:rPr>
                <w:noProof/>
                <w:webHidden/>
              </w:rPr>
            </w:r>
            <w:r w:rsidR="003201DD">
              <w:rPr>
                <w:noProof/>
                <w:webHidden/>
              </w:rPr>
              <w:fldChar w:fldCharType="separate"/>
            </w:r>
            <w:r w:rsidR="004049DC">
              <w:rPr>
                <w:noProof/>
                <w:webHidden/>
              </w:rPr>
              <w:t>i</w:t>
            </w:r>
            <w:r w:rsidR="003201DD">
              <w:rPr>
                <w:noProof/>
                <w:webHidden/>
              </w:rPr>
              <w:fldChar w:fldCharType="end"/>
            </w:r>
          </w:hyperlink>
        </w:p>
        <w:p w14:paraId="5AFA54AC" w14:textId="77777777" w:rsidR="003201DD" w:rsidRDefault="0009731E">
          <w:pPr>
            <w:pStyle w:val="TOC2"/>
            <w:tabs>
              <w:tab w:val="left" w:pos="660"/>
              <w:tab w:val="right" w:leader="dot" w:pos="9060"/>
            </w:tabs>
            <w:rPr>
              <w:rFonts w:eastAsiaTheme="minorEastAsia" w:cstheme="minorBidi"/>
              <w:smallCaps w:val="0"/>
              <w:noProof/>
              <w:sz w:val="22"/>
              <w:szCs w:val="22"/>
              <w:lang w:val="en-NZ" w:eastAsia="en-NZ" w:bidi="ar-SA"/>
            </w:rPr>
          </w:pPr>
          <w:hyperlink w:anchor="_Toc473045649" w:history="1">
            <w:r w:rsidR="003201DD" w:rsidRPr="00F40B60">
              <w:rPr>
                <w:rStyle w:val="Hyperlink"/>
                <w:noProof/>
              </w:rPr>
              <w:t>1.</w:t>
            </w:r>
            <w:r w:rsidR="003201DD">
              <w:rPr>
                <w:rFonts w:eastAsiaTheme="minorEastAsia" w:cstheme="minorBidi"/>
                <w:smallCaps w:val="0"/>
                <w:noProof/>
                <w:sz w:val="22"/>
                <w:szCs w:val="22"/>
                <w:lang w:val="en-NZ" w:eastAsia="en-NZ" w:bidi="ar-SA"/>
              </w:rPr>
              <w:tab/>
            </w:r>
            <w:r w:rsidR="003201DD" w:rsidRPr="00F40B60">
              <w:rPr>
                <w:rStyle w:val="Hyperlink"/>
                <w:noProof/>
              </w:rPr>
              <w:t>Introduction</w:t>
            </w:r>
            <w:r w:rsidR="003201DD">
              <w:rPr>
                <w:noProof/>
                <w:webHidden/>
              </w:rPr>
              <w:tab/>
            </w:r>
            <w:r w:rsidR="003201DD">
              <w:rPr>
                <w:noProof/>
                <w:webHidden/>
              </w:rPr>
              <w:fldChar w:fldCharType="begin"/>
            </w:r>
            <w:r w:rsidR="003201DD">
              <w:rPr>
                <w:noProof/>
                <w:webHidden/>
              </w:rPr>
              <w:instrText xml:space="preserve"> PAGEREF _Toc473045649 \h </w:instrText>
            </w:r>
            <w:r w:rsidR="003201DD">
              <w:rPr>
                <w:noProof/>
                <w:webHidden/>
              </w:rPr>
            </w:r>
            <w:r w:rsidR="003201DD">
              <w:rPr>
                <w:noProof/>
                <w:webHidden/>
              </w:rPr>
              <w:fldChar w:fldCharType="separate"/>
            </w:r>
            <w:r w:rsidR="004049DC">
              <w:rPr>
                <w:noProof/>
                <w:webHidden/>
              </w:rPr>
              <w:t>2</w:t>
            </w:r>
            <w:r w:rsidR="003201DD">
              <w:rPr>
                <w:noProof/>
                <w:webHidden/>
              </w:rPr>
              <w:fldChar w:fldCharType="end"/>
            </w:r>
          </w:hyperlink>
        </w:p>
        <w:p w14:paraId="508F4225" w14:textId="77777777" w:rsidR="003201DD" w:rsidRDefault="0009731E">
          <w:pPr>
            <w:pStyle w:val="TOC3"/>
            <w:tabs>
              <w:tab w:val="left" w:pos="1100"/>
              <w:tab w:val="right" w:leader="dot" w:pos="9060"/>
            </w:tabs>
            <w:rPr>
              <w:rFonts w:eastAsiaTheme="minorEastAsia" w:cstheme="minorBidi"/>
              <w:i w:val="0"/>
              <w:iCs w:val="0"/>
              <w:noProof/>
              <w:sz w:val="22"/>
              <w:szCs w:val="22"/>
              <w:lang w:val="en-NZ" w:eastAsia="en-NZ" w:bidi="ar-SA"/>
            </w:rPr>
          </w:pPr>
          <w:hyperlink w:anchor="_Toc473045650" w:history="1">
            <w:r w:rsidR="003201DD" w:rsidRPr="00F40B60">
              <w:rPr>
                <w:rStyle w:val="Hyperlink"/>
                <w:noProof/>
              </w:rPr>
              <w:t>1.1.</w:t>
            </w:r>
            <w:r w:rsidR="003201DD">
              <w:rPr>
                <w:rFonts w:eastAsiaTheme="minorEastAsia" w:cstheme="minorBidi"/>
                <w:i w:val="0"/>
                <w:iCs w:val="0"/>
                <w:noProof/>
                <w:sz w:val="22"/>
                <w:szCs w:val="22"/>
                <w:lang w:val="en-NZ" w:eastAsia="en-NZ" w:bidi="ar-SA"/>
              </w:rPr>
              <w:tab/>
            </w:r>
            <w:r w:rsidR="003201DD" w:rsidRPr="00F40B60">
              <w:rPr>
                <w:rStyle w:val="Hyperlink"/>
                <w:noProof/>
              </w:rPr>
              <w:t>Background</w:t>
            </w:r>
            <w:r w:rsidR="003201DD">
              <w:rPr>
                <w:noProof/>
                <w:webHidden/>
              </w:rPr>
              <w:tab/>
            </w:r>
            <w:r w:rsidR="003201DD">
              <w:rPr>
                <w:noProof/>
                <w:webHidden/>
              </w:rPr>
              <w:fldChar w:fldCharType="begin"/>
            </w:r>
            <w:r w:rsidR="003201DD">
              <w:rPr>
                <w:noProof/>
                <w:webHidden/>
              </w:rPr>
              <w:instrText xml:space="preserve"> PAGEREF _Toc473045650 \h </w:instrText>
            </w:r>
            <w:r w:rsidR="003201DD">
              <w:rPr>
                <w:noProof/>
                <w:webHidden/>
              </w:rPr>
            </w:r>
            <w:r w:rsidR="003201DD">
              <w:rPr>
                <w:noProof/>
                <w:webHidden/>
              </w:rPr>
              <w:fldChar w:fldCharType="separate"/>
            </w:r>
            <w:r w:rsidR="004049DC">
              <w:rPr>
                <w:noProof/>
                <w:webHidden/>
              </w:rPr>
              <w:t>2</w:t>
            </w:r>
            <w:r w:rsidR="003201DD">
              <w:rPr>
                <w:noProof/>
                <w:webHidden/>
              </w:rPr>
              <w:fldChar w:fldCharType="end"/>
            </w:r>
          </w:hyperlink>
        </w:p>
        <w:p w14:paraId="22E9625B" w14:textId="77777777" w:rsidR="003201DD" w:rsidRDefault="0009731E">
          <w:pPr>
            <w:pStyle w:val="TOC3"/>
            <w:tabs>
              <w:tab w:val="left" w:pos="1100"/>
              <w:tab w:val="right" w:leader="dot" w:pos="9060"/>
            </w:tabs>
            <w:rPr>
              <w:rFonts w:eastAsiaTheme="minorEastAsia" w:cstheme="minorBidi"/>
              <w:i w:val="0"/>
              <w:iCs w:val="0"/>
              <w:noProof/>
              <w:sz w:val="22"/>
              <w:szCs w:val="22"/>
              <w:lang w:val="en-NZ" w:eastAsia="en-NZ" w:bidi="ar-SA"/>
            </w:rPr>
          </w:pPr>
          <w:hyperlink w:anchor="_Toc473045651" w:history="1">
            <w:r w:rsidR="003201DD" w:rsidRPr="00F40B60">
              <w:rPr>
                <w:rStyle w:val="Hyperlink"/>
                <w:noProof/>
              </w:rPr>
              <w:t>1.2.</w:t>
            </w:r>
            <w:r w:rsidR="003201DD">
              <w:rPr>
                <w:rFonts w:eastAsiaTheme="minorEastAsia" w:cstheme="minorBidi"/>
                <w:i w:val="0"/>
                <w:iCs w:val="0"/>
                <w:noProof/>
                <w:sz w:val="22"/>
                <w:szCs w:val="22"/>
                <w:lang w:val="en-NZ" w:eastAsia="en-NZ" w:bidi="ar-SA"/>
              </w:rPr>
              <w:tab/>
            </w:r>
            <w:r w:rsidR="003201DD" w:rsidRPr="00F40B60">
              <w:rPr>
                <w:rStyle w:val="Hyperlink"/>
                <w:noProof/>
              </w:rPr>
              <w:t>Risk Assessment Questions</w:t>
            </w:r>
            <w:r w:rsidR="003201DD">
              <w:rPr>
                <w:noProof/>
                <w:webHidden/>
              </w:rPr>
              <w:tab/>
            </w:r>
            <w:r w:rsidR="003201DD">
              <w:rPr>
                <w:noProof/>
                <w:webHidden/>
              </w:rPr>
              <w:fldChar w:fldCharType="begin"/>
            </w:r>
            <w:r w:rsidR="003201DD">
              <w:rPr>
                <w:noProof/>
                <w:webHidden/>
              </w:rPr>
              <w:instrText xml:space="preserve"> PAGEREF _Toc473045651 \h </w:instrText>
            </w:r>
            <w:r w:rsidR="003201DD">
              <w:rPr>
                <w:noProof/>
                <w:webHidden/>
              </w:rPr>
            </w:r>
            <w:r w:rsidR="003201DD">
              <w:rPr>
                <w:noProof/>
                <w:webHidden/>
              </w:rPr>
              <w:fldChar w:fldCharType="separate"/>
            </w:r>
            <w:r w:rsidR="004049DC">
              <w:rPr>
                <w:noProof/>
                <w:webHidden/>
              </w:rPr>
              <w:t>2</w:t>
            </w:r>
            <w:r w:rsidR="003201DD">
              <w:rPr>
                <w:noProof/>
                <w:webHidden/>
              </w:rPr>
              <w:fldChar w:fldCharType="end"/>
            </w:r>
          </w:hyperlink>
        </w:p>
        <w:p w14:paraId="6E6EF986" w14:textId="77777777" w:rsidR="003201DD" w:rsidRDefault="0009731E">
          <w:pPr>
            <w:pStyle w:val="TOC3"/>
            <w:tabs>
              <w:tab w:val="left" w:pos="1100"/>
              <w:tab w:val="right" w:leader="dot" w:pos="9060"/>
            </w:tabs>
            <w:rPr>
              <w:rFonts w:eastAsiaTheme="minorEastAsia" w:cstheme="minorBidi"/>
              <w:i w:val="0"/>
              <w:iCs w:val="0"/>
              <w:noProof/>
              <w:sz w:val="22"/>
              <w:szCs w:val="22"/>
              <w:lang w:val="en-NZ" w:eastAsia="en-NZ" w:bidi="ar-SA"/>
            </w:rPr>
          </w:pPr>
          <w:hyperlink w:anchor="_Toc473045652" w:history="1">
            <w:r w:rsidR="003201DD" w:rsidRPr="00F40B60">
              <w:rPr>
                <w:rStyle w:val="Hyperlink"/>
                <w:noProof/>
              </w:rPr>
              <w:t>1.3.</w:t>
            </w:r>
            <w:r w:rsidR="003201DD">
              <w:rPr>
                <w:rFonts w:eastAsiaTheme="minorEastAsia" w:cstheme="minorBidi"/>
                <w:i w:val="0"/>
                <w:iCs w:val="0"/>
                <w:noProof/>
                <w:sz w:val="22"/>
                <w:szCs w:val="22"/>
                <w:lang w:val="en-NZ" w:eastAsia="en-NZ" w:bidi="ar-SA"/>
              </w:rPr>
              <w:tab/>
            </w:r>
            <w:r w:rsidR="003201DD" w:rsidRPr="00F40B60">
              <w:rPr>
                <w:rStyle w:val="Hyperlink"/>
                <w:noProof/>
              </w:rPr>
              <w:t>Scope</w:t>
            </w:r>
            <w:r w:rsidR="003201DD">
              <w:rPr>
                <w:noProof/>
                <w:webHidden/>
              </w:rPr>
              <w:tab/>
            </w:r>
            <w:r w:rsidR="003201DD">
              <w:rPr>
                <w:noProof/>
                <w:webHidden/>
              </w:rPr>
              <w:fldChar w:fldCharType="begin"/>
            </w:r>
            <w:r w:rsidR="003201DD">
              <w:rPr>
                <w:noProof/>
                <w:webHidden/>
              </w:rPr>
              <w:instrText xml:space="preserve"> PAGEREF _Toc473045652 \h </w:instrText>
            </w:r>
            <w:r w:rsidR="003201DD">
              <w:rPr>
                <w:noProof/>
                <w:webHidden/>
              </w:rPr>
            </w:r>
            <w:r w:rsidR="003201DD">
              <w:rPr>
                <w:noProof/>
                <w:webHidden/>
              </w:rPr>
              <w:fldChar w:fldCharType="separate"/>
            </w:r>
            <w:r w:rsidR="004049DC">
              <w:rPr>
                <w:noProof/>
                <w:webHidden/>
              </w:rPr>
              <w:t>3</w:t>
            </w:r>
            <w:r w:rsidR="003201DD">
              <w:rPr>
                <w:noProof/>
                <w:webHidden/>
              </w:rPr>
              <w:fldChar w:fldCharType="end"/>
            </w:r>
          </w:hyperlink>
        </w:p>
        <w:p w14:paraId="326779EC" w14:textId="77777777" w:rsidR="003201DD" w:rsidRDefault="0009731E">
          <w:pPr>
            <w:pStyle w:val="TOC2"/>
            <w:tabs>
              <w:tab w:val="left" w:pos="660"/>
              <w:tab w:val="right" w:leader="dot" w:pos="9060"/>
            </w:tabs>
            <w:rPr>
              <w:rFonts w:eastAsiaTheme="minorEastAsia" w:cstheme="minorBidi"/>
              <w:smallCaps w:val="0"/>
              <w:noProof/>
              <w:sz w:val="22"/>
              <w:szCs w:val="22"/>
              <w:lang w:val="en-NZ" w:eastAsia="en-NZ" w:bidi="ar-SA"/>
            </w:rPr>
          </w:pPr>
          <w:hyperlink w:anchor="_Toc473045653" w:history="1">
            <w:r w:rsidR="003201DD" w:rsidRPr="00F40B60">
              <w:rPr>
                <w:rStyle w:val="Hyperlink"/>
                <w:noProof/>
              </w:rPr>
              <w:t>2.</w:t>
            </w:r>
            <w:r w:rsidR="003201DD">
              <w:rPr>
                <w:rFonts w:eastAsiaTheme="minorEastAsia" w:cstheme="minorBidi"/>
                <w:smallCaps w:val="0"/>
                <w:noProof/>
                <w:sz w:val="22"/>
                <w:szCs w:val="22"/>
                <w:lang w:val="en-NZ" w:eastAsia="en-NZ" w:bidi="ar-SA"/>
              </w:rPr>
              <w:tab/>
            </w:r>
            <w:r w:rsidR="003201DD" w:rsidRPr="00F40B60">
              <w:rPr>
                <w:rStyle w:val="Hyperlink"/>
                <w:noProof/>
              </w:rPr>
              <w:t>Evaluation of Submitted Data</w:t>
            </w:r>
            <w:r w:rsidR="003201DD">
              <w:rPr>
                <w:noProof/>
                <w:webHidden/>
              </w:rPr>
              <w:tab/>
            </w:r>
            <w:r w:rsidR="003201DD">
              <w:rPr>
                <w:noProof/>
                <w:webHidden/>
              </w:rPr>
              <w:fldChar w:fldCharType="begin"/>
            </w:r>
            <w:r w:rsidR="003201DD">
              <w:rPr>
                <w:noProof/>
                <w:webHidden/>
              </w:rPr>
              <w:instrText xml:space="preserve"> PAGEREF _Toc473045653 \h </w:instrText>
            </w:r>
            <w:r w:rsidR="003201DD">
              <w:rPr>
                <w:noProof/>
                <w:webHidden/>
              </w:rPr>
            </w:r>
            <w:r w:rsidR="003201DD">
              <w:rPr>
                <w:noProof/>
                <w:webHidden/>
              </w:rPr>
              <w:fldChar w:fldCharType="separate"/>
            </w:r>
            <w:r w:rsidR="004049DC">
              <w:rPr>
                <w:noProof/>
                <w:webHidden/>
              </w:rPr>
              <w:t>3</w:t>
            </w:r>
            <w:r w:rsidR="003201DD">
              <w:rPr>
                <w:noProof/>
                <w:webHidden/>
              </w:rPr>
              <w:fldChar w:fldCharType="end"/>
            </w:r>
          </w:hyperlink>
        </w:p>
        <w:p w14:paraId="46BD3052" w14:textId="77777777" w:rsidR="003201DD" w:rsidRDefault="0009731E">
          <w:pPr>
            <w:pStyle w:val="TOC2"/>
            <w:tabs>
              <w:tab w:val="left" w:pos="660"/>
              <w:tab w:val="right" w:leader="dot" w:pos="9060"/>
            </w:tabs>
            <w:rPr>
              <w:rFonts w:eastAsiaTheme="minorEastAsia" w:cstheme="minorBidi"/>
              <w:smallCaps w:val="0"/>
              <w:noProof/>
              <w:sz w:val="22"/>
              <w:szCs w:val="22"/>
              <w:lang w:val="en-NZ" w:eastAsia="en-NZ" w:bidi="ar-SA"/>
            </w:rPr>
          </w:pPr>
          <w:hyperlink w:anchor="_Toc473045654" w:history="1">
            <w:r w:rsidR="003201DD" w:rsidRPr="00F40B60">
              <w:rPr>
                <w:rStyle w:val="Hyperlink"/>
                <w:noProof/>
              </w:rPr>
              <w:t>3.</w:t>
            </w:r>
            <w:r w:rsidR="003201DD">
              <w:rPr>
                <w:rFonts w:eastAsiaTheme="minorEastAsia" w:cstheme="minorBidi"/>
                <w:smallCaps w:val="0"/>
                <w:noProof/>
                <w:sz w:val="22"/>
                <w:szCs w:val="22"/>
                <w:lang w:val="en-NZ" w:eastAsia="en-NZ" w:bidi="ar-SA"/>
              </w:rPr>
              <w:tab/>
            </w:r>
            <w:r w:rsidR="003201DD" w:rsidRPr="00F40B60">
              <w:rPr>
                <w:rStyle w:val="Hyperlink"/>
                <w:noProof/>
              </w:rPr>
              <w:t>Food Technology Assessment</w:t>
            </w:r>
            <w:r w:rsidR="003201DD">
              <w:rPr>
                <w:noProof/>
                <w:webHidden/>
              </w:rPr>
              <w:tab/>
            </w:r>
            <w:r w:rsidR="003201DD">
              <w:rPr>
                <w:noProof/>
                <w:webHidden/>
              </w:rPr>
              <w:fldChar w:fldCharType="begin"/>
            </w:r>
            <w:r w:rsidR="003201DD">
              <w:rPr>
                <w:noProof/>
                <w:webHidden/>
              </w:rPr>
              <w:instrText xml:space="preserve"> PAGEREF _Toc473045654 \h </w:instrText>
            </w:r>
            <w:r w:rsidR="003201DD">
              <w:rPr>
                <w:noProof/>
                <w:webHidden/>
              </w:rPr>
            </w:r>
            <w:r w:rsidR="003201DD">
              <w:rPr>
                <w:noProof/>
                <w:webHidden/>
              </w:rPr>
              <w:fldChar w:fldCharType="separate"/>
            </w:r>
            <w:r w:rsidR="004049DC">
              <w:rPr>
                <w:noProof/>
                <w:webHidden/>
              </w:rPr>
              <w:t>4</w:t>
            </w:r>
            <w:r w:rsidR="003201DD">
              <w:rPr>
                <w:noProof/>
                <w:webHidden/>
              </w:rPr>
              <w:fldChar w:fldCharType="end"/>
            </w:r>
          </w:hyperlink>
        </w:p>
        <w:p w14:paraId="62F38E9B" w14:textId="77777777" w:rsidR="003201DD" w:rsidRDefault="0009731E">
          <w:pPr>
            <w:pStyle w:val="TOC3"/>
            <w:tabs>
              <w:tab w:val="left" w:pos="1100"/>
              <w:tab w:val="right" w:leader="dot" w:pos="9060"/>
            </w:tabs>
            <w:rPr>
              <w:rFonts w:eastAsiaTheme="minorEastAsia" w:cstheme="minorBidi"/>
              <w:i w:val="0"/>
              <w:iCs w:val="0"/>
              <w:noProof/>
              <w:sz w:val="22"/>
              <w:szCs w:val="22"/>
              <w:lang w:val="en-NZ" w:eastAsia="en-NZ" w:bidi="ar-SA"/>
            </w:rPr>
          </w:pPr>
          <w:hyperlink w:anchor="_Toc473045655" w:history="1">
            <w:r w:rsidR="003201DD" w:rsidRPr="00F40B60">
              <w:rPr>
                <w:rStyle w:val="Hyperlink"/>
                <w:noProof/>
              </w:rPr>
              <w:t>3.1.</w:t>
            </w:r>
            <w:r w:rsidR="003201DD">
              <w:rPr>
                <w:rFonts w:eastAsiaTheme="minorEastAsia" w:cstheme="minorBidi"/>
                <w:i w:val="0"/>
                <w:iCs w:val="0"/>
                <w:noProof/>
                <w:sz w:val="22"/>
                <w:szCs w:val="22"/>
                <w:lang w:val="en-NZ" w:eastAsia="en-NZ" w:bidi="ar-SA"/>
              </w:rPr>
              <w:tab/>
            </w:r>
            <w:r w:rsidR="003201DD" w:rsidRPr="00F40B60">
              <w:rPr>
                <w:rStyle w:val="Hyperlink"/>
                <w:noProof/>
              </w:rPr>
              <w:t>Specifications</w:t>
            </w:r>
            <w:r w:rsidR="003201DD">
              <w:rPr>
                <w:noProof/>
                <w:webHidden/>
              </w:rPr>
              <w:tab/>
            </w:r>
            <w:r w:rsidR="003201DD">
              <w:rPr>
                <w:noProof/>
                <w:webHidden/>
              </w:rPr>
              <w:fldChar w:fldCharType="begin"/>
            </w:r>
            <w:r w:rsidR="003201DD">
              <w:rPr>
                <w:noProof/>
                <w:webHidden/>
              </w:rPr>
              <w:instrText xml:space="preserve"> PAGEREF _Toc473045655 \h </w:instrText>
            </w:r>
            <w:r w:rsidR="003201DD">
              <w:rPr>
                <w:noProof/>
                <w:webHidden/>
              </w:rPr>
            </w:r>
            <w:r w:rsidR="003201DD">
              <w:rPr>
                <w:noProof/>
                <w:webHidden/>
              </w:rPr>
              <w:fldChar w:fldCharType="separate"/>
            </w:r>
            <w:r w:rsidR="004049DC">
              <w:rPr>
                <w:noProof/>
                <w:webHidden/>
              </w:rPr>
              <w:t>4</w:t>
            </w:r>
            <w:r w:rsidR="003201DD">
              <w:rPr>
                <w:noProof/>
                <w:webHidden/>
              </w:rPr>
              <w:fldChar w:fldCharType="end"/>
            </w:r>
          </w:hyperlink>
        </w:p>
        <w:p w14:paraId="34B2C1D3" w14:textId="77777777" w:rsidR="003201DD" w:rsidRDefault="0009731E">
          <w:pPr>
            <w:pStyle w:val="TOC3"/>
            <w:tabs>
              <w:tab w:val="left" w:pos="1100"/>
              <w:tab w:val="right" w:leader="dot" w:pos="9060"/>
            </w:tabs>
            <w:rPr>
              <w:rFonts w:eastAsiaTheme="minorEastAsia" w:cstheme="minorBidi"/>
              <w:i w:val="0"/>
              <w:iCs w:val="0"/>
              <w:noProof/>
              <w:sz w:val="22"/>
              <w:szCs w:val="22"/>
              <w:lang w:val="en-NZ" w:eastAsia="en-NZ" w:bidi="ar-SA"/>
            </w:rPr>
          </w:pPr>
          <w:hyperlink w:anchor="_Toc473045656" w:history="1">
            <w:r w:rsidR="003201DD" w:rsidRPr="00F40B60">
              <w:rPr>
                <w:rStyle w:val="Hyperlink"/>
                <w:noProof/>
              </w:rPr>
              <w:t>3.2.</w:t>
            </w:r>
            <w:r w:rsidR="003201DD">
              <w:rPr>
                <w:rFonts w:eastAsiaTheme="minorEastAsia" w:cstheme="minorBidi"/>
                <w:i w:val="0"/>
                <w:iCs w:val="0"/>
                <w:noProof/>
                <w:sz w:val="22"/>
                <w:szCs w:val="22"/>
                <w:lang w:val="en-NZ" w:eastAsia="en-NZ" w:bidi="ar-SA"/>
              </w:rPr>
              <w:tab/>
            </w:r>
            <w:r w:rsidR="003201DD" w:rsidRPr="00F40B60">
              <w:rPr>
                <w:rStyle w:val="Hyperlink"/>
                <w:noProof/>
              </w:rPr>
              <w:t>Technological Function</w:t>
            </w:r>
            <w:r w:rsidR="003201DD">
              <w:rPr>
                <w:noProof/>
                <w:webHidden/>
              </w:rPr>
              <w:tab/>
            </w:r>
            <w:r w:rsidR="003201DD">
              <w:rPr>
                <w:noProof/>
                <w:webHidden/>
              </w:rPr>
              <w:fldChar w:fldCharType="begin"/>
            </w:r>
            <w:r w:rsidR="003201DD">
              <w:rPr>
                <w:noProof/>
                <w:webHidden/>
              </w:rPr>
              <w:instrText xml:space="preserve"> PAGEREF _Toc473045656 \h </w:instrText>
            </w:r>
            <w:r w:rsidR="003201DD">
              <w:rPr>
                <w:noProof/>
                <w:webHidden/>
              </w:rPr>
            </w:r>
            <w:r w:rsidR="003201DD">
              <w:rPr>
                <w:noProof/>
                <w:webHidden/>
              </w:rPr>
              <w:fldChar w:fldCharType="separate"/>
            </w:r>
            <w:r w:rsidR="004049DC">
              <w:rPr>
                <w:noProof/>
                <w:webHidden/>
              </w:rPr>
              <w:t>4</w:t>
            </w:r>
            <w:r w:rsidR="003201DD">
              <w:rPr>
                <w:noProof/>
                <w:webHidden/>
              </w:rPr>
              <w:fldChar w:fldCharType="end"/>
            </w:r>
          </w:hyperlink>
        </w:p>
        <w:p w14:paraId="48C29C9C" w14:textId="77777777" w:rsidR="003201DD" w:rsidRDefault="0009731E">
          <w:pPr>
            <w:pStyle w:val="TOC3"/>
            <w:tabs>
              <w:tab w:val="left" w:pos="1100"/>
              <w:tab w:val="right" w:leader="dot" w:pos="9060"/>
            </w:tabs>
            <w:rPr>
              <w:rFonts w:eastAsiaTheme="minorEastAsia" w:cstheme="minorBidi"/>
              <w:i w:val="0"/>
              <w:iCs w:val="0"/>
              <w:noProof/>
              <w:sz w:val="22"/>
              <w:szCs w:val="22"/>
              <w:lang w:val="en-NZ" w:eastAsia="en-NZ" w:bidi="ar-SA"/>
            </w:rPr>
          </w:pPr>
          <w:hyperlink w:anchor="_Toc473045657" w:history="1">
            <w:r w:rsidR="003201DD" w:rsidRPr="00F40B60">
              <w:rPr>
                <w:rStyle w:val="Hyperlink"/>
                <w:noProof/>
              </w:rPr>
              <w:t>3.3.</w:t>
            </w:r>
            <w:r w:rsidR="003201DD">
              <w:rPr>
                <w:rFonts w:eastAsiaTheme="minorEastAsia" w:cstheme="minorBidi"/>
                <w:i w:val="0"/>
                <w:iCs w:val="0"/>
                <w:noProof/>
                <w:sz w:val="22"/>
                <w:szCs w:val="22"/>
                <w:lang w:val="en-NZ" w:eastAsia="en-NZ" w:bidi="ar-SA"/>
              </w:rPr>
              <w:tab/>
            </w:r>
            <w:r w:rsidR="003201DD" w:rsidRPr="00F40B60">
              <w:rPr>
                <w:rStyle w:val="Hyperlink"/>
                <w:noProof/>
              </w:rPr>
              <w:t>Food Technology Conclusion</w:t>
            </w:r>
            <w:r w:rsidR="003201DD">
              <w:rPr>
                <w:noProof/>
                <w:webHidden/>
              </w:rPr>
              <w:tab/>
            </w:r>
            <w:r w:rsidR="003201DD">
              <w:rPr>
                <w:noProof/>
                <w:webHidden/>
              </w:rPr>
              <w:fldChar w:fldCharType="begin"/>
            </w:r>
            <w:r w:rsidR="003201DD">
              <w:rPr>
                <w:noProof/>
                <w:webHidden/>
              </w:rPr>
              <w:instrText xml:space="preserve"> PAGEREF _Toc473045657 \h </w:instrText>
            </w:r>
            <w:r w:rsidR="003201DD">
              <w:rPr>
                <w:noProof/>
                <w:webHidden/>
              </w:rPr>
            </w:r>
            <w:r w:rsidR="003201DD">
              <w:rPr>
                <w:noProof/>
                <w:webHidden/>
              </w:rPr>
              <w:fldChar w:fldCharType="separate"/>
            </w:r>
            <w:r w:rsidR="004049DC">
              <w:rPr>
                <w:noProof/>
                <w:webHidden/>
              </w:rPr>
              <w:t>4</w:t>
            </w:r>
            <w:r w:rsidR="003201DD">
              <w:rPr>
                <w:noProof/>
                <w:webHidden/>
              </w:rPr>
              <w:fldChar w:fldCharType="end"/>
            </w:r>
          </w:hyperlink>
        </w:p>
        <w:p w14:paraId="6CFEE828" w14:textId="77777777" w:rsidR="003201DD" w:rsidRDefault="0009731E">
          <w:pPr>
            <w:pStyle w:val="TOC2"/>
            <w:tabs>
              <w:tab w:val="left" w:pos="660"/>
              <w:tab w:val="right" w:leader="dot" w:pos="9060"/>
            </w:tabs>
            <w:rPr>
              <w:rFonts w:eastAsiaTheme="minorEastAsia" w:cstheme="minorBidi"/>
              <w:smallCaps w:val="0"/>
              <w:noProof/>
              <w:sz w:val="22"/>
              <w:szCs w:val="22"/>
              <w:lang w:val="en-NZ" w:eastAsia="en-NZ" w:bidi="ar-SA"/>
            </w:rPr>
          </w:pPr>
          <w:hyperlink w:anchor="_Toc473045658" w:history="1">
            <w:r w:rsidR="003201DD" w:rsidRPr="00F40B60">
              <w:rPr>
                <w:rStyle w:val="Hyperlink"/>
                <w:noProof/>
              </w:rPr>
              <w:t>4.</w:t>
            </w:r>
            <w:r w:rsidR="003201DD">
              <w:rPr>
                <w:rFonts w:eastAsiaTheme="minorEastAsia" w:cstheme="minorBidi"/>
                <w:smallCaps w:val="0"/>
                <w:noProof/>
                <w:sz w:val="22"/>
                <w:szCs w:val="22"/>
                <w:lang w:val="en-NZ" w:eastAsia="en-NZ" w:bidi="ar-SA"/>
              </w:rPr>
              <w:tab/>
            </w:r>
            <w:r w:rsidR="003201DD" w:rsidRPr="00F40B60">
              <w:rPr>
                <w:rStyle w:val="Hyperlink"/>
                <w:noProof/>
              </w:rPr>
              <w:t>Hazard Assessment</w:t>
            </w:r>
            <w:r w:rsidR="003201DD">
              <w:rPr>
                <w:noProof/>
                <w:webHidden/>
              </w:rPr>
              <w:tab/>
            </w:r>
            <w:r w:rsidR="003201DD">
              <w:rPr>
                <w:noProof/>
                <w:webHidden/>
              </w:rPr>
              <w:fldChar w:fldCharType="begin"/>
            </w:r>
            <w:r w:rsidR="003201DD">
              <w:rPr>
                <w:noProof/>
                <w:webHidden/>
              </w:rPr>
              <w:instrText xml:space="preserve"> PAGEREF _Toc473045658 \h </w:instrText>
            </w:r>
            <w:r w:rsidR="003201DD">
              <w:rPr>
                <w:noProof/>
                <w:webHidden/>
              </w:rPr>
            </w:r>
            <w:r w:rsidR="003201DD">
              <w:rPr>
                <w:noProof/>
                <w:webHidden/>
              </w:rPr>
              <w:fldChar w:fldCharType="separate"/>
            </w:r>
            <w:r w:rsidR="004049DC">
              <w:rPr>
                <w:noProof/>
                <w:webHidden/>
              </w:rPr>
              <w:t>5</w:t>
            </w:r>
            <w:r w:rsidR="003201DD">
              <w:rPr>
                <w:noProof/>
                <w:webHidden/>
              </w:rPr>
              <w:fldChar w:fldCharType="end"/>
            </w:r>
          </w:hyperlink>
        </w:p>
        <w:p w14:paraId="0A1D3E6C" w14:textId="77777777" w:rsidR="003201DD" w:rsidRDefault="0009731E">
          <w:pPr>
            <w:pStyle w:val="TOC3"/>
            <w:tabs>
              <w:tab w:val="left" w:pos="1100"/>
              <w:tab w:val="right" w:leader="dot" w:pos="9060"/>
            </w:tabs>
            <w:rPr>
              <w:rFonts w:eastAsiaTheme="minorEastAsia" w:cstheme="minorBidi"/>
              <w:i w:val="0"/>
              <w:iCs w:val="0"/>
              <w:noProof/>
              <w:sz w:val="22"/>
              <w:szCs w:val="22"/>
              <w:lang w:val="en-NZ" w:eastAsia="en-NZ" w:bidi="ar-SA"/>
            </w:rPr>
          </w:pPr>
          <w:hyperlink w:anchor="_Toc473045659" w:history="1">
            <w:r w:rsidR="003201DD" w:rsidRPr="00F40B60">
              <w:rPr>
                <w:rStyle w:val="Hyperlink"/>
                <w:noProof/>
              </w:rPr>
              <w:t>4.1.</w:t>
            </w:r>
            <w:r w:rsidR="003201DD">
              <w:rPr>
                <w:rFonts w:eastAsiaTheme="minorEastAsia" w:cstheme="minorBidi"/>
                <w:i w:val="0"/>
                <w:iCs w:val="0"/>
                <w:noProof/>
                <w:sz w:val="22"/>
                <w:szCs w:val="22"/>
                <w:lang w:val="en-NZ" w:eastAsia="en-NZ" w:bidi="ar-SA"/>
              </w:rPr>
              <w:tab/>
            </w:r>
            <w:r w:rsidR="003201DD" w:rsidRPr="00F40B60">
              <w:rPr>
                <w:rStyle w:val="Hyperlink"/>
                <w:noProof/>
              </w:rPr>
              <w:t>History of human exposure and consumption</w:t>
            </w:r>
            <w:r w:rsidR="003201DD">
              <w:rPr>
                <w:noProof/>
                <w:webHidden/>
              </w:rPr>
              <w:tab/>
            </w:r>
            <w:r w:rsidR="003201DD">
              <w:rPr>
                <w:noProof/>
                <w:webHidden/>
              </w:rPr>
              <w:fldChar w:fldCharType="begin"/>
            </w:r>
            <w:r w:rsidR="003201DD">
              <w:rPr>
                <w:noProof/>
                <w:webHidden/>
              </w:rPr>
              <w:instrText xml:space="preserve"> PAGEREF _Toc473045659 \h </w:instrText>
            </w:r>
            <w:r w:rsidR="003201DD">
              <w:rPr>
                <w:noProof/>
                <w:webHidden/>
              </w:rPr>
            </w:r>
            <w:r w:rsidR="003201DD">
              <w:rPr>
                <w:noProof/>
                <w:webHidden/>
              </w:rPr>
              <w:fldChar w:fldCharType="separate"/>
            </w:r>
            <w:r w:rsidR="004049DC">
              <w:rPr>
                <w:noProof/>
                <w:webHidden/>
              </w:rPr>
              <w:t>5</w:t>
            </w:r>
            <w:r w:rsidR="003201DD">
              <w:rPr>
                <w:noProof/>
                <w:webHidden/>
              </w:rPr>
              <w:fldChar w:fldCharType="end"/>
            </w:r>
          </w:hyperlink>
        </w:p>
        <w:p w14:paraId="1EF05A54" w14:textId="77777777" w:rsidR="003201DD" w:rsidRDefault="0009731E">
          <w:pPr>
            <w:pStyle w:val="TOC3"/>
            <w:tabs>
              <w:tab w:val="left" w:pos="1100"/>
              <w:tab w:val="right" w:leader="dot" w:pos="9060"/>
            </w:tabs>
            <w:rPr>
              <w:rFonts w:eastAsiaTheme="minorEastAsia" w:cstheme="minorBidi"/>
              <w:i w:val="0"/>
              <w:iCs w:val="0"/>
              <w:noProof/>
              <w:sz w:val="22"/>
              <w:szCs w:val="22"/>
              <w:lang w:val="en-NZ" w:eastAsia="en-NZ" w:bidi="ar-SA"/>
            </w:rPr>
          </w:pPr>
          <w:hyperlink w:anchor="_Toc473045660" w:history="1">
            <w:r w:rsidR="003201DD" w:rsidRPr="00F40B60">
              <w:rPr>
                <w:rStyle w:val="Hyperlink"/>
                <w:noProof/>
              </w:rPr>
              <w:t>4.2.</w:t>
            </w:r>
            <w:r w:rsidR="003201DD">
              <w:rPr>
                <w:rFonts w:eastAsiaTheme="minorEastAsia" w:cstheme="minorBidi"/>
                <w:i w:val="0"/>
                <w:iCs w:val="0"/>
                <w:noProof/>
                <w:sz w:val="22"/>
                <w:szCs w:val="22"/>
                <w:lang w:val="en-NZ" w:eastAsia="en-NZ" w:bidi="ar-SA"/>
              </w:rPr>
              <w:tab/>
            </w:r>
            <w:r w:rsidR="003201DD" w:rsidRPr="00F40B60">
              <w:rPr>
                <w:rStyle w:val="Hyperlink"/>
                <w:noProof/>
              </w:rPr>
              <w:t>Metabolism</w:t>
            </w:r>
            <w:r w:rsidR="003201DD">
              <w:rPr>
                <w:noProof/>
                <w:webHidden/>
              </w:rPr>
              <w:tab/>
            </w:r>
            <w:r w:rsidR="003201DD">
              <w:rPr>
                <w:noProof/>
                <w:webHidden/>
              </w:rPr>
              <w:fldChar w:fldCharType="begin"/>
            </w:r>
            <w:r w:rsidR="003201DD">
              <w:rPr>
                <w:noProof/>
                <w:webHidden/>
              </w:rPr>
              <w:instrText xml:space="preserve"> PAGEREF _Toc473045660 \h </w:instrText>
            </w:r>
            <w:r w:rsidR="003201DD">
              <w:rPr>
                <w:noProof/>
                <w:webHidden/>
              </w:rPr>
            </w:r>
            <w:r w:rsidR="003201DD">
              <w:rPr>
                <w:noProof/>
                <w:webHidden/>
              </w:rPr>
              <w:fldChar w:fldCharType="separate"/>
            </w:r>
            <w:r w:rsidR="004049DC">
              <w:rPr>
                <w:noProof/>
                <w:webHidden/>
              </w:rPr>
              <w:t>5</w:t>
            </w:r>
            <w:r w:rsidR="003201DD">
              <w:rPr>
                <w:noProof/>
                <w:webHidden/>
              </w:rPr>
              <w:fldChar w:fldCharType="end"/>
            </w:r>
          </w:hyperlink>
        </w:p>
        <w:p w14:paraId="05C5F8A0" w14:textId="77777777" w:rsidR="003201DD" w:rsidRDefault="0009731E">
          <w:pPr>
            <w:pStyle w:val="TOC3"/>
            <w:tabs>
              <w:tab w:val="left" w:pos="1100"/>
              <w:tab w:val="right" w:leader="dot" w:pos="9060"/>
            </w:tabs>
            <w:rPr>
              <w:rFonts w:eastAsiaTheme="minorEastAsia" w:cstheme="minorBidi"/>
              <w:i w:val="0"/>
              <w:iCs w:val="0"/>
              <w:noProof/>
              <w:sz w:val="22"/>
              <w:szCs w:val="22"/>
              <w:lang w:val="en-NZ" w:eastAsia="en-NZ" w:bidi="ar-SA"/>
            </w:rPr>
          </w:pPr>
          <w:hyperlink w:anchor="_Toc473045661" w:history="1">
            <w:r w:rsidR="003201DD" w:rsidRPr="00F40B60">
              <w:rPr>
                <w:rStyle w:val="Hyperlink"/>
                <w:noProof/>
              </w:rPr>
              <w:t>4.3.</w:t>
            </w:r>
            <w:r w:rsidR="003201DD">
              <w:rPr>
                <w:rFonts w:eastAsiaTheme="minorEastAsia" w:cstheme="minorBidi"/>
                <w:i w:val="0"/>
                <w:iCs w:val="0"/>
                <w:noProof/>
                <w:sz w:val="22"/>
                <w:szCs w:val="22"/>
                <w:lang w:val="en-NZ" w:eastAsia="en-NZ" w:bidi="ar-SA"/>
              </w:rPr>
              <w:tab/>
            </w:r>
            <w:r w:rsidR="003201DD" w:rsidRPr="00F40B60">
              <w:rPr>
                <w:rStyle w:val="Hyperlink"/>
                <w:noProof/>
              </w:rPr>
              <w:t>Genotoxicity studies</w:t>
            </w:r>
            <w:r w:rsidR="003201DD">
              <w:rPr>
                <w:noProof/>
                <w:webHidden/>
              </w:rPr>
              <w:tab/>
            </w:r>
            <w:r w:rsidR="003201DD">
              <w:rPr>
                <w:noProof/>
                <w:webHidden/>
              </w:rPr>
              <w:fldChar w:fldCharType="begin"/>
            </w:r>
            <w:r w:rsidR="003201DD">
              <w:rPr>
                <w:noProof/>
                <w:webHidden/>
              </w:rPr>
              <w:instrText xml:space="preserve"> PAGEREF _Toc473045661 \h </w:instrText>
            </w:r>
            <w:r w:rsidR="003201DD">
              <w:rPr>
                <w:noProof/>
                <w:webHidden/>
              </w:rPr>
            </w:r>
            <w:r w:rsidR="003201DD">
              <w:rPr>
                <w:noProof/>
                <w:webHidden/>
              </w:rPr>
              <w:fldChar w:fldCharType="separate"/>
            </w:r>
            <w:r w:rsidR="004049DC">
              <w:rPr>
                <w:noProof/>
                <w:webHidden/>
              </w:rPr>
              <w:t>5</w:t>
            </w:r>
            <w:r w:rsidR="003201DD">
              <w:rPr>
                <w:noProof/>
                <w:webHidden/>
              </w:rPr>
              <w:fldChar w:fldCharType="end"/>
            </w:r>
          </w:hyperlink>
        </w:p>
        <w:p w14:paraId="16DFB6C5" w14:textId="77777777" w:rsidR="003201DD" w:rsidRDefault="0009731E">
          <w:pPr>
            <w:pStyle w:val="TOC3"/>
            <w:tabs>
              <w:tab w:val="left" w:pos="1100"/>
              <w:tab w:val="right" w:leader="dot" w:pos="9060"/>
            </w:tabs>
            <w:rPr>
              <w:rFonts w:eastAsiaTheme="minorEastAsia" w:cstheme="minorBidi"/>
              <w:i w:val="0"/>
              <w:iCs w:val="0"/>
              <w:noProof/>
              <w:sz w:val="22"/>
              <w:szCs w:val="22"/>
              <w:lang w:val="en-NZ" w:eastAsia="en-NZ" w:bidi="ar-SA"/>
            </w:rPr>
          </w:pPr>
          <w:hyperlink w:anchor="_Toc473045662" w:history="1">
            <w:r w:rsidR="003201DD" w:rsidRPr="00F40B60">
              <w:rPr>
                <w:rStyle w:val="Hyperlink"/>
                <w:noProof/>
              </w:rPr>
              <w:t>4.4.</w:t>
            </w:r>
            <w:r w:rsidR="003201DD">
              <w:rPr>
                <w:rFonts w:eastAsiaTheme="minorEastAsia" w:cstheme="minorBidi"/>
                <w:i w:val="0"/>
                <w:iCs w:val="0"/>
                <w:noProof/>
                <w:sz w:val="22"/>
                <w:szCs w:val="22"/>
                <w:lang w:val="en-NZ" w:eastAsia="en-NZ" w:bidi="ar-SA"/>
              </w:rPr>
              <w:tab/>
            </w:r>
            <w:r w:rsidR="003201DD" w:rsidRPr="00F40B60">
              <w:rPr>
                <w:rStyle w:val="Hyperlink"/>
                <w:noProof/>
              </w:rPr>
              <w:t>Studies in experimental animals</w:t>
            </w:r>
            <w:r w:rsidR="003201DD">
              <w:rPr>
                <w:noProof/>
                <w:webHidden/>
              </w:rPr>
              <w:tab/>
            </w:r>
            <w:r w:rsidR="003201DD">
              <w:rPr>
                <w:noProof/>
                <w:webHidden/>
              </w:rPr>
              <w:fldChar w:fldCharType="begin"/>
            </w:r>
            <w:r w:rsidR="003201DD">
              <w:rPr>
                <w:noProof/>
                <w:webHidden/>
              </w:rPr>
              <w:instrText xml:space="preserve"> PAGEREF _Toc473045662 \h </w:instrText>
            </w:r>
            <w:r w:rsidR="003201DD">
              <w:rPr>
                <w:noProof/>
                <w:webHidden/>
              </w:rPr>
            </w:r>
            <w:r w:rsidR="003201DD">
              <w:rPr>
                <w:noProof/>
                <w:webHidden/>
              </w:rPr>
              <w:fldChar w:fldCharType="separate"/>
            </w:r>
            <w:r w:rsidR="004049DC">
              <w:rPr>
                <w:noProof/>
                <w:webHidden/>
              </w:rPr>
              <w:t>6</w:t>
            </w:r>
            <w:r w:rsidR="003201DD">
              <w:rPr>
                <w:noProof/>
                <w:webHidden/>
              </w:rPr>
              <w:fldChar w:fldCharType="end"/>
            </w:r>
          </w:hyperlink>
        </w:p>
        <w:p w14:paraId="1F73503A" w14:textId="77777777" w:rsidR="003201DD" w:rsidRDefault="0009731E">
          <w:pPr>
            <w:pStyle w:val="TOC3"/>
            <w:tabs>
              <w:tab w:val="left" w:pos="1100"/>
              <w:tab w:val="right" w:leader="dot" w:pos="9060"/>
            </w:tabs>
            <w:rPr>
              <w:rFonts w:eastAsiaTheme="minorEastAsia" w:cstheme="minorBidi"/>
              <w:i w:val="0"/>
              <w:iCs w:val="0"/>
              <w:noProof/>
              <w:sz w:val="22"/>
              <w:szCs w:val="22"/>
              <w:lang w:val="en-NZ" w:eastAsia="en-NZ" w:bidi="ar-SA"/>
            </w:rPr>
          </w:pPr>
          <w:hyperlink w:anchor="_Toc473045663" w:history="1">
            <w:r w:rsidR="003201DD" w:rsidRPr="00F40B60">
              <w:rPr>
                <w:rStyle w:val="Hyperlink"/>
                <w:noProof/>
              </w:rPr>
              <w:t>4.5.</w:t>
            </w:r>
            <w:r w:rsidR="003201DD">
              <w:rPr>
                <w:rFonts w:eastAsiaTheme="minorEastAsia" w:cstheme="minorBidi"/>
                <w:i w:val="0"/>
                <w:iCs w:val="0"/>
                <w:noProof/>
                <w:sz w:val="22"/>
                <w:szCs w:val="22"/>
                <w:lang w:val="en-NZ" w:eastAsia="en-NZ" w:bidi="ar-SA"/>
              </w:rPr>
              <w:tab/>
            </w:r>
            <w:r w:rsidR="003201DD" w:rsidRPr="00F40B60">
              <w:rPr>
                <w:rStyle w:val="Hyperlink"/>
                <w:noProof/>
              </w:rPr>
              <w:t>Studies in humans</w:t>
            </w:r>
            <w:r w:rsidR="003201DD">
              <w:rPr>
                <w:noProof/>
                <w:webHidden/>
              </w:rPr>
              <w:tab/>
            </w:r>
            <w:r w:rsidR="003201DD">
              <w:rPr>
                <w:noProof/>
                <w:webHidden/>
              </w:rPr>
              <w:fldChar w:fldCharType="begin"/>
            </w:r>
            <w:r w:rsidR="003201DD">
              <w:rPr>
                <w:noProof/>
                <w:webHidden/>
              </w:rPr>
              <w:instrText xml:space="preserve"> PAGEREF _Toc473045663 \h </w:instrText>
            </w:r>
            <w:r w:rsidR="003201DD">
              <w:rPr>
                <w:noProof/>
                <w:webHidden/>
              </w:rPr>
            </w:r>
            <w:r w:rsidR="003201DD">
              <w:rPr>
                <w:noProof/>
                <w:webHidden/>
              </w:rPr>
              <w:fldChar w:fldCharType="separate"/>
            </w:r>
            <w:r w:rsidR="004049DC">
              <w:rPr>
                <w:noProof/>
                <w:webHidden/>
              </w:rPr>
              <w:t>6</w:t>
            </w:r>
            <w:r w:rsidR="003201DD">
              <w:rPr>
                <w:noProof/>
                <w:webHidden/>
              </w:rPr>
              <w:fldChar w:fldCharType="end"/>
            </w:r>
          </w:hyperlink>
        </w:p>
        <w:p w14:paraId="25D97E70" w14:textId="77777777" w:rsidR="003201DD" w:rsidRDefault="0009731E">
          <w:pPr>
            <w:pStyle w:val="TOC3"/>
            <w:tabs>
              <w:tab w:val="left" w:pos="1100"/>
              <w:tab w:val="right" w:leader="dot" w:pos="9060"/>
            </w:tabs>
            <w:rPr>
              <w:rFonts w:eastAsiaTheme="minorEastAsia" w:cstheme="minorBidi"/>
              <w:i w:val="0"/>
              <w:iCs w:val="0"/>
              <w:noProof/>
              <w:sz w:val="22"/>
              <w:szCs w:val="22"/>
              <w:lang w:val="en-NZ" w:eastAsia="en-NZ" w:bidi="ar-SA"/>
            </w:rPr>
          </w:pPr>
          <w:hyperlink w:anchor="_Toc473045664" w:history="1">
            <w:r w:rsidR="003201DD" w:rsidRPr="00F40B60">
              <w:rPr>
                <w:rStyle w:val="Hyperlink"/>
                <w:noProof/>
              </w:rPr>
              <w:t>4.6.</w:t>
            </w:r>
            <w:r w:rsidR="003201DD">
              <w:rPr>
                <w:rFonts w:eastAsiaTheme="minorEastAsia" w:cstheme="minorBidi"/>
                <w:i w:val="0"/>
                <w:iCs w:val="0"/>
                <w:noProof/>
                <w:sz w:val="22"/>
                <w:szCs w:val="22"/>
                <w:lang w:val="en-NZ" w:eastAsia="en-NZ" w:bidi="ar-SA"/>
              </w:rPr>
              <w:tab/>
            </w:r>
            <w:r w:rsidR="003201DD" w:rsidRPr="00F40B60">
              <w:rPr>
                <w:rStyle w:val="Hyperlink"/>
                <w:noProof/>
              </w:rPr>
              <w:t>Potential for allergenicity</w:t>
            </w:r>
            <w:r w:rsidR="003201DD">
              <w:rPr>
                <w:noProof/>
                <w:webHidden/>
              </w:rPr>
              <w:tab/>
            </w:r>
            <w:r w:rsidR="003201DD">
              <w:rPr>
                <w:noProof/>
                <w:webHidden/>
              </w:rPr>
              <w:fldChar w:fldCharType="begin"/>
            </w:r>
            <w:r w:rsidR="003201DD">
              <w:rPr>
                <w:noProof/>
                <w:webHidden/>
              </w:rPr>
              <w:instrText xml:space="preserve"> PAGEREF _Toc473045664 \h </w:instrText>
            </w:r>
            <w:r w:rsidR="003201DD">
              <w:rPr>
                <w:noProof/>
                <w:webHidden/>
              </w:rPr>
            </w:r>
            <w:r w:rsidR="003201DD">
              <w:rPr>
                <w:noProof/>
                <w:webHidden/>
              </w:rPr>
              <w:fldChar w:fldCharType="separate"/>
            </w:r>
            <w:r w:rsidR="004049DC">
              <w:rPr>
                <w:noProof/>
                <w:webHidden/>
              </w:rPr>
              <w:t>7</w:t>
            </w:r>
            <w:r w:rsidR="003201DD">
              <w:rPr>
                <w:noProof/>
                <w:webHidden/>
              </w:rPr>
              <w:fldChar w:fldCharType="end"/>
            </w:r>
          </w:hyperlink>
        </w:p>
        <w:p w14:paraId="23D45F76" w14:textId="77777777" w:rsidR="003201DD" w:rsidRDefault="0009731E">
          <w:pPr>
            <w:pStyle w:val="TOC3"/>
            <w:tabs>
              <w:tab w:val="left" w:pos="1100"/>
              <w:tab w:val="right" w:leader="dot" w:pos="9060"/>
            </w:tabs>
            <w:rPr>
              <w:rFonts w:eastAsiaTheme="minorEastAsia" w:cstheme="minorBidi"/>
              <w:i w:val="0"/>
              <w:iCs w:val="0"/>
              <w:noProof/>
              <w:sz w:val="22"/>
              <w:szCs w:val="22"/>
              <w:lang w:val="en-NZ" w:eastAsia="en-NZ" w:bidi="ar-SA"/>
            </w:rPr>
          </w:pPr>
          <w:hyperlink w:anchor="_Toc473045665" w:history="1">
            <w:r w:rsidR="003201DD" w:rsidRPr="00F40B60">
              <w:rPr>
                <w:rStyle w:val="Hyperlink"/>
                <w:noProof/>
              </w:rPr>
              <w:t>4.7.</w:t>
            </w:r>
            <w:r w:rsidR="003201DD">
              <w:rPr>
                <w:rFonts w:eastAsiaTheme="minorEastAsia" w:cstheme="minorBidi"/>
                <w:i w:val="0"/>
                <w:iCs w:val="0"/>
                <w:noProof/>
                <w:sz w:val="22"/>
                <w:szCs w:val="22"/>
                <w:lang w:val="en-NZ" w:eastAsia="en-NZ" w:bidi="ar-SA"/>
              </w:rPr>
              <w:tab/>
            </w:r>
            <w:r w:rsidR="003201DD" w:rsidRPr="00F40B60">
              <w:rPr>
                <w:rStyle w:val="Hyperlink"/>
                <w:noProof/>
              </w:rPr>
              <w:t>Discussion</w:t>
            </w:r>
            <w:r w:rsidR="003201DD">
              <w:rPr>
                <w:noProof/>
                <w:webHidden/>
              </w:rPr>
              <w:tab/>
            </w:r>
            <w:r w:rsidR="003201DD">
              <w:rPr>
                <w:noProof/>
                <w:webHidden/>
              </w:rPr>
              <w:fldChar w:fldCharType="begin"/>
            </w:r>
            <w:r w:rsidR="003201DD">
              <w:rPr>
                <w:noProof/>
                <w:webHidden/>
              </w:rPr>
              <w:instrText xml:space="preserve"> PAGEREF _Toc473045665 \h </w:instrText>
            </w:r>
            <w:r w:rsidR="003201DD">
              <w:rPr>
                <w:noProof/>
                <w:webHidden/>
              </w:rPr>
            </w:r>
            <w:r w:rsidR="003201DD">
              <w:rPr>
                <w:noProof/>
                <w:webHidden/>
              </w:rPr>
              <w:fldChar w:fldCharType="separate"/>
            </w:r>
            <w:r w:rsidR="004049DC">
              <w:rPr>
                <w:noProof/>
                <w:webHidden/>
              </w:rPr>
              <w:t>7</w:t>
            </w:r>
            <w:r w:rsidR="003201DD">
              <w:rPr>
                <w:noProof/>
                <w:webHidden/>
              </w:rPr>
              <w:fldChar w:fldCharType="end"/>
            </w:r>
          </w:hyperlink>
        </w:p>
        <w:p w14:paraId="255F045D" w14:textId="77777777" w:rsidR="003201DD" w:rsidRDefault="0009731E">
          <w:pPr>
            <w:pStyle w:val="TOC3"/>
            <w:tabs>
              <w:tab w:val="left" w:pos="1100"/>
              <w:tab w:val="right" w:leader="dot" w:pos="9060"/>
            </w:tabs>
            <w:rPr>
              <w:rFonts w:eastAsiaTheme="minorEastAsia" w:cstheme="minorBidi"/>
              <w:i w:val="0"/>
              <w:iCs w:val="0"/>
              <w:noProof/>
              <w:sz w:val="22"/>
              <w:szCs w:val="22"/>
              <w:lang w:val="en-NZ" w:eastAsia="en-NZ" w:bidi="ar-SA"/>
            </w:rPr>
          </w:pPr>
          <w:hyperlink w:anchor="_Toc473045666" w:history="1">
            <w:r w:rsidR="003201DD" w:rsidRPr="00F40B60">
              <w:rPr>
                <w:rStyle w:val="Hyperlink"/>
                <w:noProof/>
              </w:rPr>
              <w:t>4.8.</w:t>
            </w:r>
            <w:r w:rsidR="003201DD">
              <w:rPr>
                <w:rFonts w:eastAsiaTheme="minorEastAsia" w:cstheme="minorBidi"/>
                <w:i w:val="0"/>
                <w:iCs w:val="0"/>
                <w:noProof/>
                <w:sz w:val="22"/>
                <w:szCs w:val="22"/>
                <w:lang w:val="en-NZ" w:eastAsia="en-NZ" w:bidi="ar-SA"/>
              </w:rPr>
              <w:tab/>
            </w:r>
            <w:r w:rsidR="003201DD" w:rsidRPr="00F40B60">
              <w:rPr>
                <w:rStyle w:val="Hyperlink"/>
                <w:noProof/>
              </w:rPr>
              <w:t>Conclusions</w:t>
            </w:r>
            <w:r w:rsidR="003201DD">
              <w:rPr>
                <w:noProof/>
                <w:webHidden/>
              </w:rPr>
              <w:tab/>
            </w:r>
            <w:r w:rsidR="003201DD">
              <w:rPr>
                <w:noProof/>
                <w:webHidden/>
              </w:rPr>
              <w:fldChar w:fldCharType="begin"/>
            </w:r>
            <w:r w:rsidR="003201DD">
              <w:rPr>
                <w:noProof/>
                <w:webHidden/>
              </w:rPr>
              <w:instrText xml:space="preserve"> PAGEREF _Toc473045666 \h </w:instrText>
            </w:r>
            <w:r w:rsidR="003201DD">
              <w:rPr>
                <w:noProof/>
                <w:webHidden/>
              </w:rPr>
            </w:r>
            <w:r w:rsidR="003201DD">
              <w:rPr>
                <w:noProof/>
                <w:webHidden/>
              </w:rPr>
              <w:fldChar w:fldCharType="separate"/>
            </w:r>
            <w:r w:rsidR="004049DC">
              <w:rPr>
                <w:noProof/>
                <w:webHidden/>
              </w:rPr>
              <w:t>7</w:t>
            </w:r>
            <w:r w:rsidR="003201DD">
              <w:rPr>
                <w:noProof/>
                <w:webHidden/>
              </w:rPr>
              <w:fldChar w:fldCharType="end"/>
            </w:r>
          </w:hyperlink>
        </w:p>
        <w:p w14:paraId="49373D19" w14:textId="77777777" w:rsidR="003201DD" w:rsidRDefault="0009731E">
          <w:pPr>
            <w:pStyle w:val="TOC2"/>
            <w:tabs>
              <w:tab w:val="left" w:pos="660"/>
              <w:tab w:val="right" w:leader="dot" w:pos="9060"/>
            </w:tabs>
            <w:rPr>
              <w:rFonts w:eastAsiaTheme="minorEastAsia" w:cstheme="minorBidi"/>
              <w:smallCaps w:val="0"/>
              <w:noProof/>
              <w:sz w:val="22"/>
              <w:szCs w:val="22"/>
              <w:lang w:val="en-NZ" w:eastAsia="en-NZ" w:bidi="ar-SA"/>
            </w:rPr>
          </w:pPr>
          <w:hyperlink w:anchor="_Toc473045667" w:history="1">
            <w:r w:rsidR="003201DD" w:rsidRPr="00F40B60">
              <w:rPr>
                <w:rStyle w:val="Hyperlink"/>
                <w:noProof/>
              </w:rPr>
              <w:t>5.</w:t>
            </w:r>
            <w:r w:rsidR="003201DD">
              <w:rPr>
                <w:rFonts w:eastAsiaTheme="minorEastAsia" w:cstheme="minorBidi"/>
                <w:smallCaps w:val="0"/>
                <w:noProof/>
                <w:sz w:val="22"/>
                <w:szCs w:val="22"/>
                <w:lang w:val="en-NZ" w:eastAsia="en-NZ" w:bidi="ar-SA"/>
              </w:rPr>
              <w:tab/>
            </w:r>
            <w:r w:rsidR="003201DD" w:rsidRPr="00F40B60">
              <w:rPr>
                <w:rStyle w:val="Hyperlink"/>
                <w:noProof/>
              </w:rPr>
              <w:t>Summary</w:t>
            </w:r>
            <w:r w:rsidR="003201DD">
              <w:rPr>
                <w:noProof/>
                <w:webHidden/>
              </w:rPr>
              <w:tab/>
            </w:r>
            <w:r w:rsidR="003201DD">
              <w:rPr>
                <w:noProof/>
                <w:webHidden/>
              </w:rPr>
              <w:fldChar w:fldCharType="begin"/>
            </w:r>
            <w:r w:rsidR="003201DD">
              <w:rPr>
                <w:noProof/>
                <w:webHidden/>
              </w:rPr>
              <w:instrText xml:space="preserve"> PAGEREF _Toc473045667 \h </w:instrText>
            </w:r>
            <w:r w:rsidR="003201DD">
              <w:rPr>
                <w:noProof/>
                <w:webHidden/>
              </w:rPr>
            </w:r>
            <w:r w:rsidR="003201DD">
              <w:rPr>
                <w:noProof/>
                <w:webHidden/>
              </w:rPr>
              <w:fldChar w:fldCharType="separate"/>
            </w:r>
            <w:r w:rsidR="004049DC">
              <w:rPr>
                <w:b/>
                <w:bCs/>
                <w:noProof/>
                <w:webHidden/>
                <w:lang w:val="en-US"/>
              </w:rPr>
              <w:t>Error! Bookmark not defined.</w:t>
            </w:r>
            <w:r w:rsidR="003201DD">
              <w:rPr>
                <w:noProof/>
                <w:webHidden/>
              </w:rPr>
              <w:fldChar w:fldCharType="end"/>
            </w:r>
          </w:hyperlink>
        </w:p>
        <w:p w14:paraId="672FD5B3" w14:textId="77777777" w:rsidR="003201DD" w:rsidRDefault="0009731E">
          <w:pPr>
            <w:pStyle w:val="TOC2"/>
            <w:tabs>
              <w:tab w:val="left" w:pos="660"/>
              <w:tab w:val="right" w:leader="dot" w:pos="9060"/>
            </w:tabs>
            <w:rPr>
              <w:rFonts w:eastAsiaTheme="minorEastAsia" w:cstheme="minorBidi"/>
              <w:smallCaps w:val="0"/>
              <w:noProof/>
              <w:sz w:val="22"/>
              <w:szCs w:val="22"/>
              <w:lang w:val="en-NZ" w:eastAsia="en-NZ" w:bidi="ar-SA"/>
            </w:rPr>
          </w:pPr>
          <w:hyperlink w:anchor="_Toc473045668" w:history="1">
            <w:r w:rsidR="003201DD" w:rsidRPr="00F40B60">
              <w:rPr>
                <w:rStyle w:val="Hyperlink"/>
                <w:noProof/>
              </w:rPr>
              <w:t>6.</w:t>
            </w:r>
            <w:r w:rsidR="003201DD">
              <w:rPr>
                <w:rFonts w:eastAsiaTheme="minorEastAsia" w:cstheme="minorBidi"/>
                <w:smallCaps w:val="0"/>
                <w:noProof/>
                <w:sz w:val="22"/>
                <w:szCs w:val="22"/>
                <w:lang w:val="en-NZ" w:eastAsia="en-NZ" w:bidi="ar-SA"/>
              </w:rPr>
              <w:tab/>
            </w:r>
            <w:r w:rsidR="003201DD" w:rsidRPr="00F40B60">
              <w:rPr>
                <w:rStyle w:val="Hyperlink"/>
                <w:noProof/>
              </w:rPr>
              <w:t>References</w:t>
            </w:r>
            <w:r w:rsidR="003201DD">
              <w:rPr>
                <w:noProof/>
                <w:webHidden/>
              </w:rPr>
              <w:tab/>
            </w:r>
            <w:r w:rsidR="003201DD">
              <w:rPr>
                <w:noProof/>
                <w:webHidden/>
              </w:rPr>
              <w:fldChar w:fldCharType="begin"/>
            </w:r>
            <w:r w:rsidR="003201DD">
              <w:rPr>
                <w:noProof/>
                <w:webHidden/>
              </w:rPr>
              <w:instrText xml:space="preserve"> PAGEREF _Toc473045668 \h </w:instrText>
            </w:r>
            <w:r w:rsidR="003201DD">
              <w:rPr>
                <w:noProof/>
                <w:webHidden/>
              </w:rPr>
            </w:r>
            <w:r w:rsidR="003201DD">
              <w:rPr>
                <w:noProof/>
                <w:webHidden/>
              </w:rPr>
              <w:fldChar w:fldCharType="separate"/>
            </w:r>
            <w:r w:rsidR="004049DC">
              <w:rPr>
                <w:noProof/>
                <w:webHidden/>
              </w:rPr>
              <w:t>7</w:t>
            </w:r>
            <w:r w:rsidR="003201DD">
              <w:rPr>
                <w:noProof/>
                <w:webHidden/>
              </w:rPr>
              <w:fldChar w:fldCharType="end"/>
            </w:r>
          </w:hyperlink>
        </w:p>
        <w:p w14:paraId="3F0DF4C0" w14:textId="64AC0C1B" w:rsidR="00034724" w:rsidRDefault="00034724">
          <w:r>
            <w:rPr>
              <w:b/>
              <w:bCs/>
              <w:noProof/>
            </w:rPr>
            <w:fldChar w:fldCharType="end"/>
          </w:r>
        </w:p>
      </w:sdtContent>
    </w:sdt>
    <w:p w14:paraId="5CCDC79E" w14:textId="75E6E15F" w:rsidR="00562917" w:rsidRDefault="00562917" w:rsidP="00051ED9"/>
    <w:p w14:paraId="5D6FDE73" w14:textId="77777777" w:rsidR="00E066BA" w:rsidRDefault="00E066BA" w:rsidP="00051ED9"/>
    <w:p w14:paraId="27B5CAC1" w14:textId="77777777" w:rsidR="00051ED9" w:rsidRDefault="00562917" w:rsidP="00772BDC">
      <w:r w:rsidRPr="00E203C2">
        <w:br w:type="page"/>
      </w:r>
    </w:p>
    <w:p w14:paraId="3EDFDAB8" w14:textId="0FC09D48" w:rsidR="00797BF5" w:rsidRDefault="00797BF5" w:rsidP="00B21EBB">
      <w:pPr>
        <w:pStyle w:val="Heading1"/>
      </w:pPr>
      <w:bookmarkStart w:id="5" w:name="_Toc473045649"/>
      <w:r>
        <w:lastRenderedPageBreak/>
        <w:t>1</w:t>
      </w:r>
      <w:r>
        <w:tab/>
      </w:r>
      <w:bookmarkStart w:id="6" w:name="_Toc473045650"/>
      <w:bookmarkEnd w:id="5"/>
      <w:r w:rsidR="00034724">
        <w:t>Background</w:t>
      </w:r>
      <w:bookmarkEnd w:id="6"/>
    </w:p>
    <w:p w14:paraId="42C0245A" w14:textId="1EF73F93" w:rsidR="00311D39" w:rsidRPr="00311D39" w:rsidRDefault="00797BF5" w:rsidP="00B21EBB">
      <w:pPr>
        <w:pStyle w:val="Heading2"/>
      </w:pPr>
      <w:r>
        <w:t>1.1</w:t>
      </w:r>
      <w:r>
        <w:tab/>
      </w:r>
      <w:r w:rsidR="00311D39" w:rsidRPr="00311D39">
        <w:t>Chemistry</w:t>
      </w:r>
    </w:p>
    <w:p w14:paraId="7C42D74D" w14:textId="3617E9FA" w:rsidR="00311D39" w:rsidRDefault="00797BF5" w:rsidP="00B21EBB">
      <w:pPr>
        <w:pStyle w:val="Heading3"/>
      </w:pPr>
      <w:r>
        <w:t>1.1.1</w:t>
      </w:r>
      <w:r>
        <w:tab/>
      </w:r>
      <w:r w:rsidR="00311D39" w:rsidRPr="00311D39">
        <w:t>Pectins</w:t>
      </w:r>
    </w:p>
    <w:p w14:paraId="2B4A93F1" w14:textId="77777777" w:rsidR="00311D39" w:rsidRDefault="00311D39" w:rsidP="00311D39">
      <w:pPr>
        <w:rPr>
          <w:lang w:eastAsia="en-AU" w:bidi="ar-SA"/>
        </w:rPr>
      </w:pPr>
      <w:r>
        <w:rPr>
          <w:lang w:eastAsia="en-AU" w:bidi="ar-SA"/>
        </w:rPr>
        <w:t xml:space="preserve">Pectins are extracted from plant material, most commonly the peels of apples or citrus fruits. </w:t>
      </w:r>
    </w:p>
    <w:p w14:paraId="671A5ED6" w14:textId="77777777" w:rsidR="00311D39" w:rsidRDefault="00311D39" w:rsidP="00311D39">
      <w:pPr>
        <w:rPr>
          <w:lang w:eastAsia="en-AU" w:bidi="ar-SA"/>
        </w:rPr>
      </w:pPr>
    </w:p>
    <w:p w14:paraId="79B53339" w14:textId="77777777" w:rsidR="00311D39" w:rsidRDefault="00311D39" w:rsidP="00311D39">
      <w:pPr>
        <w:rPr>
          <w:lang w:eastAsia="en-AU" w:bidi="ar-SA"/>
        </w:rPr>
      </w:pPr>
      <w:r>
        <w:rPr>
          <w:lang w:eastAsia="en-AU" w:bidi="ar-SA"/>
        </w:rPr>
        <w:t xml:space="preserve">Pectins, or pectic oligosaccharides, principally consist of the partial methyl esters of polygalacturonic acid in an alpha (1-4) chain and their sodium, potassium, calcium and ammonium salts. Pectins may contain acetate or other ester groups. Commercial pectins typically have a molecular weight in the range 60 to 130,000 Da. </w:t>
      </w:r>
    </w:p>
    <w:p w14:paraId="377AF8BC" w14:textId="77777777" w:rsidR="00311D39" w:rsidRDefault="00311D39" w:rsidP="00311D39">
      <w:pPr>
        <w:rPr>
          <w:lang w:eastAsia="en-AU" w:bidi="ar-SA"/>
        </w:rPr>
      </w:pPr>
    </w:p>
    <w:p w14:paraId="03A514D9" w14:textId="77777777" w:rsidR="00311D39" w:rsidRDefault="00311D39" w:rsidP="00311D39">
      <w:pPr>
        <w:rPr>
          <w:lang w:eastAsia="en-AU" w:bidi="ar-SA"/>
        </w:rPr>
      </w:pPr>
      <w:r>
        <w:rPr>
          <w:lang w:eastAsia="en-AU" w:bidi="ar-SA"/>
        </w:rPr>
        <w:t xml:space="preserve">Pectins have been assigned the CAS number 9000-69-5 and the EINEC number 232-533-0. In the International Numbering System (INS) pectin is 440. In Europe, pectins are classified as either 440(i) for non-amidated pectins and 440(ii) for amidated pectins. </w:t>
      </w:r>
    </w:p>
    <w:p w14:paraId="6F1D866C" w14:textId="77777777" w:rsidR="00311D39" w:rsidRDefault="00311D39" w:rsidP="00311D39">
      <w:pPr>
        <w:rPr>
          <w:lang w:eastAsia="en-AU" w:bidi="ar-SA"/>
        </w:rPr>
      </w:pPr>
    </w:p>
    <w:p w14:paraId="49D45137" w14:textId="24D429B3" w:rsidR="00311D39" w:rsidRDefault="00311D39" w:rsidP="00311D39">
      <w:pPr>
        <w:rPr>
          <w:lang w:eastAsia="en-AU" w:bidi="ar-SA"/>
        </w:rPr>
      </w:pPr>
      <w:r>
        <w:rPr>
          <w:lang w:eastAsia="en-AU" w:bidi="ar-SA"/>
        </w:rPr>
        <w:t xml:space="preserve">When added to water, powdered pectins form a gel. </w:t>
      </w:r>
    </w:p>
    <w:p w14:paraId="713C8C62" w14:textId="604083B1" w:rsidR="00311D39" w:rsidRDefault="00797BF5" w:rsidP="00B21EBB">
      <w:pPr>
        <w:pStyle w:val="Heading3"/>
      </w:pPr>
      <w:r>
        <w:t>1.1.2</w:t>
      </w:r>
      <w:r>
        <w:tab/>
      </w:r>
      <w:r w:rsidR="00311D39" w:rsidRPr="00311D39">
        <w:t>Carrageenan</w:t>
      </w:r>
    </w:p>
    <w:p w14:paraId="20DDA6CA" w14:textId="77777777" w:rsidR="00311D39" w:rsidRDefault="00311D39" w:rsidP="00311D39">
      <w:pPr>
        <w:rPr>
          <w:lang w:eastAsia="en-AU" w:bidi="ar-SA"/>
        </w:rPr>
      </w:pPr>
      <w:r>
        <w:rPr>
          <w:lang w:eastAsia="en-AU" w:bidi="ar-SA"/>
        </w:rPr>
        <w:t xml:space="preserve">Carrageenan is manufactured from red seaweeds of the class </w:t>
      </w:r>
      <w:r w:rsidRPr="00311D39">
        <w:rPr>
          <w:i/>
          <w:lang w:eastAsia="en-AU" w:bidi="ar-SA"/>
        </w:rPr>
        <w:t>Rhodophyceae</w:t>
      </w:r>
      <w:r>
        <w:rPr>
          <w:lang w:eastAsia="en-AU" w:bidi="ar-SA"/>
        </w:rPr>
        <w:t xml:space="preserve">. </w:t>
      </w:r>
    </w:p>
    <w:p w14:paraId="7254680D" w14:textId="77777777" w:rsidR="00311D39" w:rsidRDefault="00311D39" w:rsidP="00311D39">
      <w:pPr>
        <w:rPr>
          <w:lang w:eastAsia="en-AU" w:bidi="ar-SA"/>
        </w:rPr>
      </w:pPr>
    </w:p>
    <w:p w14:paraId="2B289E4E" w14:textId="77777777" w:rsidR="00311D39" w:rsidRDefault="00311D39" w:rsidP="00311D39">
      <w:pPr>
        <w:rPr>
          <w:lang w:eastAsia="en-AU" w:bidi="ar-SA"/>
        </w:rPr>
      </w:pPr>
      <w:r>
        <w:rPr>
          <w:lang w:eastAsia="en-AU" w:bidi="ar-SA"/>
        </w:rPr>
        <w:t>Carrageenans are highly sulphated galactans. Carrageenans are classed into three major families based on the position of sulphate groups on their 1</w:t>
      </w:r>
      <w:proofErr w:type="gramStart"/>
      <w:r>
        <w:rPr>
          <w:lang w:eastAsia="en-AU" w:bidi="ar-SA"/>
        </w:rPr>
        <w:t>,3</w:t>
      </w:r>
      <w:proofErr w:type="gramEnd"/>
      <w:r>
        <w:rPr>
          <w:lang w:eastAsia="en-AU" w:bidi="ar-SA"/>
        </w:rPr>
        <w:t xml:space="preserve">- and 1,4-linked disaccharide galactose residues. Kappa (κ) carrageenan has one sulphate per disaccharide, iota (ί) carrageenan has two sulphates per disaccharide, and lambda (λ) carrageenan has three sulphates per disaccharide. Commercial carrageenan may be the sodium, potassium, calcium or ammonium salt. Carrageenans have molecular weights in the range 200,000 – 800,000 Da.   </w:t>
      </w:r>
    </w:p>
    <w:p w14:paraId="504DD93F" w14:textId="77777777" w:rsidR="00311D39" w:rsidRDefault="00311D39" w:rsidP="00311D39">
      <w:pPr>
        <w:rPr>
          <w:lang w:eastAsia="en-AU" w:bidi="ar-SA"/>
        </w:rPr>
      </w:pPr>
    </w:p>
    <w:p w14:paraId="55942798" w14:textId="79851416" w:rsidR="00311D39" w:rsidRDefault="00311D39" w:rsidP="00311D39">
      <w:pPr>
        <w:rPr>
          <w:lang w:eastAsia="en-AU" w:bidi="ar-SA"/>
        </w:rPr>
      </w:pPr>
      <w:r>
        <w:rPr>
          <w:lang w:eastAsia="en-AU" w:bidi="ar-SA"/>
        </w:rPr>
        <w:t xml:space="preserve">Carrageenans have been assigned the CAS number 11114-20-8, the EINEC number 232-534-2, and the INS number E407. </w:t>
      </w:r>
    </w:p>
    <w:p w14:paraId="2FBFC6AA" w14:textId="77777777" w:rsidR="00311D39" w:rsidRDefault="00311D39" w:rsidP="00311D39">
      <w:pPr>
        <w:rPr>
          <w:lang w:eastAsia="en-AU" w:bidi="ar-SA"/>
        </w:rPr>
      </w:pPr>
    </w:p>
    <w:p w14:paraId="6B35366E" w14:textId="77777777" w:rsidR="00311D39" w:rsidRDefault="00311D39" w:rsidP="00311D39">
      <w:pPr>
        <w:rPr>
          <w:lang w:eastAsia="en-AU" w:bidi="ar-SA"/>
        </w:rPr>
      </w:pPr>
      <w:r>
        <w:rPr>
          <w:lang w:eastAsia="en-AU" w:bidi="ar-SA"/>
        </w:rPr>
        <w:t>Carrageenans vary in their gelling properties, depending on the number and position of the sulphate groups. The strength of the gel is inversely related to the number of sulphate groups, and lambda carrageenans are non-gelling.</w:t>
      </w:r>
    </w:p>
    <w:p w14:paraId="73760F85" w14:textId="77777777" w:rsidR="00311D39" w:rsidRDefault="00311D39" w:rsidP="00311D39">
      <w:pPr>
        <w:rPr>
          <w:lang w:eastAsia="en-AU" w:bidi="ar-SA"/>
        </w:rPr>
      </w:pPr>
    </w:p>
    <w:p w14:paraId="5373771F" w14:textId="133E615F" w:rsidR="00311D39" w:rsidRPr="00311D39" w:rsidRDefault="00311D39" w:rsidP="00311D39">
      <w:pPr>
        <w:rPr>
          <w:lang w:eastAsia="en-AU" w:bidi="ar-SA"/>
        </w:rPr>
      </w:pPr>
      <w:r>
        <w:rPr>
          <w:lang w:eastAsia="en-AU" w:bidi="ar-SA"/>
        </w:rPr>
        <w:t>All carrageenans are soluble in hot water. Lambda carrageenans are soluble in cold water, but kappa and iota carrageenans are soluble in cold water only as their sodium salts.</w:t>
      </w:r>
    </w:p>
    <w:p w14:paraId="6C60642E" w14:textId="7CD570F4" w:rsidR="00034724" w:rsidRDefault="00797BF5" w:rsidP="00B21EBB">
      <w:pPr>
        <w:pStyle w:val="Heading1"/>
      </w:pPr>
      <w:bookmarkStart w:id="7" w:name="_Toc473045651"/>
      <w:r>
        <w:t>2</w:t>
      </w:r>
      <w:r>
        <w:tab/>
      </w:r>
      <w:r w:rsidR="00034724">
        <w:t xml:space="preserve">Risk </w:t>
      </w:r>
      <w:r>
        <w:t>a</w:t>
      </w:r>
      <w:r w:rsidR="00034724">
        <w:t>sses</w:t>
      </w:r>
      <w:r w:rsidR="00A107D1">
        <w:t>s</w:t>
      </w:r>
      <w:r w:rsidR="00034724">
        <w:t xml:space="preserve">ment </w:t>
      </w:r>
      <w:r>
        <w:t>q</w:t>
      </w:r>
      <w:r w:rsidR="00034724">
        <w:t>uestions</w:t>
      </w:r>
      <w:bookmarkEnd w:id="7"/>
    </w:p>
    <w:p w14:paraId="19299FFC" w14:textId="7BB733F6" w:rsidR="00BF7BCF" w:rsidRDefault="00BF7BCF" w:rsidP="00BF7BCF">
      <w:pPr>
        <w:rPr>
          <w:lang w:eastAsia="en-AU" w:bidi="ar-SA"/>
        </w:rPr>
      </w:pPr>
      <w:r>
        <w:rPr>
          <w:lang w:eastAsia="en-AU" w:bidi="ar-SA"/>
        </w:rPr>
        <w:t xml:space="preserve">The key </w:t>
      </w:r>
      <w:r w:rsidR="009B22A9">
        <w:rPr>
          <w:lang w:eastAsia="en-AU" w:bidi="ar-SA"/>
        </w:rPr>
        <w:t>r</w:t>
      </w:r>
      <w:r>
        <w:rPr>
          <w:lang w:eastAsia="en-AU" w:bidi="ar-SA"/>
        </w:rPr>
        <w:t xml:space="preserve">isk </w:t>
      </w:r>
      <w:r w:rsidR="00797BF5">
        <w:rPr>
          <w:lang w:eastAsia="en-AU" w:bidi="ar-SA"/>
        </w:rPr>
        <w:t>a</w:t>
      </w:r>
      <w:r>
        <w:rPr>
          <w:lang w:eastAsia="en-AU" w:bidi="ar-SA"/>
        </w:rPr>
        <w:t>ssessment questions to be addressed are as follows:</w:t>
      </w:r>
    </w:p>
    <w:p w14:paraId="2B373373" w14:textId="77777777" w:rsidR="00F51425" w:rsidRDefault="00F51425" w:rsidP="00BF7BCF">
      <w:pPr>
        <w:rPr>
          <w:lang w:eastAsia="en-AU" w:bidi="ar-SA"/>
        </w:rPr>
      </w:pPr>
    </w:p>
    <w:tbl>
      <w:tblPr>
        <w:tblStyle w:val="TableGrid"/>
        <w:tblW w:w="0" w:type="auto"/>
        <w:tblLook w:val="04A0" w:firstRow="1" w:lastRow="0" w:firstColumn="1" w:lastColumn="0" w:noHBand="0" w:noVBand="1"/>
      </w:tblPr>
      <w:tblGrid>
        <w:gridCol w:w="9286"/>
      </w:tblGrid>
      <w:tr w:rsidR="00BF7BCF" w14:paraId="032F700B" w14:textId="77777777" w:rsidTr="00BF7BCF">
        <w:tc>
          <w:tcPr>
            <w:tcW w:w="9286" w:type="dxa"/>
          </w:tcPr>
          <w:p w14:paraId="07E3DA4B" w14:textId="270B64D6" w:rsidR="002B474D" w:rsidRPr="00B21EBB" w:rsidRDefault="002B474D" w:rsidP="00797BF5">
            <w:pPr>
              <w:pStyle w:val="FSBullet1"/>
              <w:numPr>
                <w:ilvl w:val="0"/>
                <w:numId w:val="6"/>
              </w:numPr>
              <w:spacing w:after="120"/>
              <w:ind w:left="567" w:hanging="567"/>
              <w:rPr>
                <w:sz w:val="20"/>
              </w:rPr>
            </w:pPr>
            <w:r w:rsidRPr="00B21EBB">
              <w:rPr>
                <w:sz w:val="20"/>
              </w:rPr>
              <w:t>Is the proposed technological purpose clearly stated, and do pectins and carrageenan achieve the technological function in the quantity and form proposed to be used as a food processing aid?</w:t>
            </w:r>
          </w:p>
          <w:p w14:paraId="1FDD2DB6" w14:textId="4FE21DD4" w:rsidR="00BF7BCF" w:rsidRDefault="002B474D" w:rsidP="00B21EBB">
            <w:pPr>
              <w:pStyle w:val="FSBullet1"/>
              <w:numPr>
                <w:ilvl w:val="0"/>
                <w:numId w:val="6"/>
              </w:numPr>
              <w:ind w:left="567" w:hanging="567"/>
              <w:rPr>
                <w:lang w:eastAsia="en-AU"/>
              </w:rPr>
            </w:pPr>
            <w:r w:rsidRPr="00B21EBB">
              <w:rPr>
                <w:sz w:val="20"/>
              </w:rPr>
              <w:t>Are there any public health and safety concerns that may arise from the use of pectins and carrageenan as processing aids in the manufacture of wine in Australia?</w:t>
            </w:r>
          </w:p>
        </w:tc>
      </w:tr>
    </w:tbl>
    <w:p w14:paraId="096E205E" w14:textId="74A13C08" w:rsidR="00CF2097" w:rsidRDefault="00CF2097" w:rsidP="00BF7BCF">
      <w:pPr>
        <w:rPr>
          <w:lang w:eastAsia="en-AU" w:bidi="ar-SA"/>
        </w:rPr>
      </w:pPr>
      <w:r>
        <w:rPr>
          <w:lang w:eastAsia="en-AU" w:bidi="ar-SA"/>
        </w:rPr>
        <w:br w:type="page"/>
      </w:r>
    </w:p>
    <w:p w14:paraId="4076F531" w14:textId="3C48E673" w:rsidR="00034724" w:rsidRDefault="00F05C8F" w:rsidP="00B21EBB">
      <w:pPr>
        <w:pStyle w:val="Heading2"/>
      </w:pPr>
      <w:bookmarkStart w:id="8" w:name="_Toc473045652"/>
      <w:r>
        <w:lastRenderedPageBreak/>
        <w:t>2.1</w:t>
      </w:r>
      <w:r>
        <w:tab/>
      </w:r>
      <w:r w:rsidR="00034724">
        <w:t>Scope</w:t>
      </w:r>
      <w:bookmarkEnd w:id="8"/>
    </w:p>
    <w:p w14:paraId="263A96DE" w14:textId="23A63075" w:rsidR="00311D39" w:rsidRDefault="00311D39" w:rsidP="00311D39">
      <w:pPr>
        <w:rPr>
          <w:lang w:eastAsia="en-AU" w:bidi="ar-SA"/>
        </w:rPr>
      </w:pPr>
      <w:r>
        <w:rPr>
          <w:lang w:eastAsia="en-AU" w:bidi="ar-SA"/>
        </w:rPr>
        <w:t xml:space="preserve">The Application seeks an amendment to the Code to permit pectin and carrageenans to be used as processing aids in wine produced in Australia via amendment of Standard 4.5.1 Wine Production Requirements (Australia only). </w:t>
      </w:r>
    </w:p>
    <w:p w14:paraId="30BA7B5F" w14:textId="77777777" w:rsidR="00311D39" w:rsidRDefault="00311D39" w:rsidP="00311D39">
      <w:pPr>
        <w:rPr>
          <w:lang w:eastAsia="en-AU" w:bidi="ar-SA"/>
        </w:rPr>
      </w:pPr>
    </w:p>
    <w:p w14:paraId="7D1BB23E" w14:textId="7FB82644" w:rsidR="00311D39" w:rsidRDefault="00311D39" w:rsidP="00311D39">
      <w:pPr>
        <w:rPr>
          <w:lang w:eastAsia="en-AU" w:bidi="ar-SA"/>
        </w:rPr>
      </w:pPr>
      <w:r>
        <w:rPr>
          <w:lang w:eastAsia="en-AU" w:bidi="ar-SA"/>
        </w:rPr>
        <w:t>Pectins and carrageenan are already permitted processing aids as defined in Standard 1.3.</w:t>
      </w:r>
      <w:r w:rsidR="009B22A9">
        <w:rPr>
          <w:lang w:eastAsia="en-AU" w:bidi="ar-SA"/>
        </w:rPr>
        <w:t xml:space="preserve">3 – </w:t>
      </w:r>
      <w:r>
        <w:rPr>
          <w:lang w:eastAsia="en-AU" w:bidi="ar-SA"/>
        </w:rPr>
        <w:t xml:space="preserve">Processing </w:t>
      </w:r>
      <w:r w:rsidR="009B22A9">
        <w:rPr>
          <w:lang w:eastAsia="en-AU" w:bidi="ar-SA"/>
        </w:rPr>
        <w:t>a</w:t>
      </w:r>
      <w:r>
        <w:rPr>
          <w:lang w:eastAsia="en-AU" w:bidi="ar-SA"/>
        </w:rPr>
        <w:t>ids, by virtue of being food additives pe</w:t>
      </w:r>
      <w:r w:rsidR="003201DD">
        <w:rPr>
          <w:lang w:eastAsia="en-AU" w:bidi="ar-SA"/>
        </w:rPr>
        <w:t>rmitted at GMP in Schedule 16</w:t>
      </w:r>
      <w:r w:rsidR="009B22A9">
        <w:rPr>
          <w:lang w:eastAsia="en-AU" w:bidi="ar-SA"/>
        </w:rPr>
        <w:t xml:space="preserve"> –</w:t>
      </w:r>
      <w:r w:rsidR="009B22A9" w:rsidRPr="009B22A9">
        <w:t xml:space="preserve"> </w:t>
      </w:r>
      <w:r w:rsidR="009B22A9" w:rsidRPr="009E6D50">
        <w:t xml:space="preserve">Types of substances that may be used as food </w:t>
      </w:r>
      <w:proofErr w:type="gramStart"/>
      <w:r w:rsidR="009B22A9" w:rsidRPr="009E6D50">
        <w:t>additives</w:t>
      </w:r>
      <w:r w:rsidR="009B22A9">
        <w:t xml:space="preserve"> </w:t>
      </w:r>
      <w:r w:rsidR="009B22A9">
        <w:rPr>
          <w:lang w:eastAsia="en-AU" w:bidi="ar-SA"/>
        </w:rPr>
        <w:t>.</w:t>
      </w:r>
      <w:proofErr w:type="gramEnd"/>
      <w:r w:rsidR="003201DD">
        <w:rPr>
          <w:lang w:eastAsia="en-AU" w:bidi="ar-SA"/>
        </w:rPr>
        <w:t xml:space="preserve"> </w:t>
      </w:r>
      <w:r>
        <w:rPr>
          <w:lang w:eastAsia="en-AU" w:bidi="ar-SA"/>
        </w:rPr>
        <w:t xml:space="preserve">Therefore, the current assessment is generally limited to their specific technical function as fining agents in wine manufacture and a review of recent data on the toxicology of pectin and carrageenans. </w:t>
      </w:r>
    </w:p>
    <w:p w14:paraId="2A91E059" w14:textId="77777777" w:rsidR="00311D39" w:rsidRDefault="00311D39" w:rsidP="00311D39">
      <w:pPr>
        <w:rPr>
          <w:lang w:eastAsia="en-AU" w:bidi="ar-SA"/>
        </w:rPr>
      </w:pPr>
    </w:p>
    <w:p w14:paraId="3958787F" w14:textId="700F3974" w:rsidR="00311D39" w:rsidRDefault="00311D39" w:rsidP="00311D39">
      <w:pPr>
        <w:rPr>
          <w:lang w:eastAsia="en-AU" w:bidi="ar-SA"/>
        </w:rPr>
      </w:pPr>
      <w:r>
        <w:rPr>
          <w:lang w:eastAsia="en-AU" w:bidi="ar-SA"/>
        </w:rPr>
        <w:t>Pectins</w:t>
      </w:r>
      <w:r w:rsidR="00043D35">
        <w:rPr>
          <w:lang w:eastAsia="en-AU" w:bidi="ar-SA"/>
        </w:rPr>
        <w:t xml:space="preserve"> as food additives</w:t>
      </w:r>
      <w:r>
        <w:rPr>
          <w:lang w:eastAsia="en-AU" w:bidi="ar-SA"/>
        </w:rPr>
        <w:t xml:space="preserve"> have been evaluated by the Joint FAO/WHO Expert Committee on Food Additives (JECFA) at its </w:t>
      </w:r>
      <w:r w:rsidR="00F05C8F">
        <w:rPr>
          <w:lang w:eastAsia="en-AU" w:bidi="ar-SA"/>
        </w:rPr>
        <w:t>13</w:t>
      </w:r>
      <w:r w:rsidR="00F05C8F" w:rsidRPr="00B21EBB">
        <w:rPr>
          <w:vertAlign w:val="superscript"/>
          <w:lang w:eastAsia="en-AU" w:bidi="ar-SA"/>
        </w:rPr>
        <w:t>th</w:t>
      </w:r>
      <w:r w:rsidR="00F05C8F">
        <w:rPr>
          <w:lang w:eastAsia="en-AU" w:bidi="ar-SA"/>
        </w:rPr>
        <w:t>,</w:t>
      </w:r>
      <w:r>
        <w:rPr>
          <w:lang w:eastAsia="en-AU" w:bidi="ar-SA"/>
        </w:rPr>
        <w:t xml:space="preserve"> </w:t>
      </w:r>
      <w:r w:rsidR="00F05C8F">
        <w:rPr>
          <w:lang w:eastAsia="en-AU" w:bidi="ar-SA"/>
        </w:rPr>
        <w:t>17</w:t>
      </w:r>
      <w:r w:rsidR="00F05C8F" w:rsidRPr="00B21EBB">
        <w:rPr>
          <w:vertAlign w:val="superscript"/>
          <w:lang w:eastAsia="en-AU" w:bidi="ar-SA"/>
        </w:rPr>
        <w:t>th</w:t>
      </w:r>
      <w:r>
        <w:rPr>
          <w:lang w:eastAsia="en-AU" w:bidi="ar-SA"/>
        </w:rPr>
        <w:t>,</w:t>
      </w:r>
      <w:r w:rsidR="00F05C8F">
        <w:rPr>
          <w:lang w:eastAsia="en-AU" w:bidi="ar-SA"/>
        </w:rPr>
        <w:t xml:space="preserve"> 18</w:t>
      </w:r>
      <w:r w:rsidR="00F05C8F" w:rsidRPr="00B21EBB">
        <w:rPr>
          <w:vertAlign w:val="superscript"/>
          <w:lang w:eastAsia="en-AU" w:bidi="ar-SA"/>
        </w:rPr>
        <w:t>th</w:t>
      </w:r>
      <w:r w:rsidR="00F05C8F">
        <w:rPr>
          <w:lang w:eastAsia="en-AU" w:bidi="ar-SA"/>
        </w:rPr>
        <w:t>,</w:t>
      </w:r>
      <w:r>
        <w:rPr>
          <w:lang w:eastAsia="en-AU" w:bidi="ar-SA"/>
        </w:rPr>
        <w:t xml:space="preserve"> </w:t>
      </w:r>
      <w:r w:rsidR="00F05C8F">
        <w:rPr>
          <w:lang w:eastAsia="en-AU" w:bidi="ar-SA"/>
        </w:rPr>
        <w:t>19</w:t>
      </w:r>
      <w:r w:rsidR="00F05C8F" w:rsidRPr="00B21EBB">
        <w:rPr>
          <w:vertAlign w:val="superscript"/>
          <w:lang w:eastAsia="en-AU" w:bidi="ar-SA"/>
        </w:rPr>
        <w:t>th</w:t>
      </w:r>
      <w:r w:rsidR="00F05C8F">
        <w:rPr>
          <w:lang w:eastAsia="en-AU" w:bidi="ar-SA"/>
        </w:rPr>
        <w:t xml:space="preserve"> </w:t>
      </w:r>
      <w:r>
        <w:rPr>
          <w:lang w:eastAsia="en-AU" w:bidi="ar-SA"/>
        </w:rPr>
        <w:t xml:space="preserve">and </w:t>
      </w:r>
      <w:r w:rsidR="00F05C8F">
        <w:rPr>
          <w:lang w:eastAsia="en-AU" w:bidi="ar-SA"/>
        </w:rPr>
        <w:t>25</w:t>
      </w:r>
      <w:r w:rsidR="00F05C8F" w:rsidRPr="00B21EBB">
        <w:rPr>
          <w:vertAlign w:val="superscript"/>
          <w:lang w:eastAsia="en-AU" w:bidi="ar-SA"/>
        </w:rPr>
        <w:t>th</w:t>
      </w:r>
      <w:r>
        <w:rPr>
          <w:lang w:eastAsia="en-AU" w:bidi="ar-SA"/>
        </w:rPr>
        <w:t xml:space="preserve"> meetings. A group acceptable daily intake (ADI) of ‘not specified’ was established for pectin and amidated pectin in 1981 at the </w:t>
      </w:r>
      <w:r w:rsidR="00F05C8F">
        <w:rPr>
          <w:lang w:eastAsia="en-AU" w:bidi="ar-SA"/>
        </w:rPr>
        <w:t>25</w:t>
      </w:r>
      <w:r w:rsidR="00F05C8F" w:rsidRPr="00B21EBB">
        <w:rPr>
          <w:vertAlign w:val="superscript"/>
          <w:lang w:eastAsia="en-AU" w:bidi="ar-SA"/>
        </w:rPr>
        <w:t>th</w:t>
      </w:r>
      <w:r w:rsidR="00F05C8F">
        <w:rPr>
          <w:lang w:eastAsia="en-AU" w:bidi="ar-SA"/>
        </w:rPr>
        <w:t xml:space="preserve"> </w:t>
      </w:r>
      <w:r>
        <w:rPr>
          <w:lang w:eastAsia="en-AU" w:bidi="ar-SA"/>
        </w:rPr>
        <w:t xml:space="preserve">meeting. An addendum was prepared as a result of the </w:t>
      </w:r>
      <w:r w:rsidR="001D4EEF">
        <w:rPr>
          <w:lang w:eastAsia="en-AU" w:bidi="ar-SA"/>
        </w:rPr>
        <w:t>79th</w:t>
      </w:r>
      <w:r>
        <w:rPr>
          <w:lang w:eastAsia="en-AU" w:bidi="ar-SA"/>
        </w:rPr>
        <w:t xml:space="preserve"> JECFA meeting, and published in 2015 (WHO 2015). </w:t>
      </w:r>
    </w:p>
    <w:p w14:paraId="12136287" w14:textId="77777777" w:rsidR="00311D39" w:rsidRDefault="00311D39" w:rsidP="00311D39">
      <w:pPr>
        <w:rPr>
          <w:lang w:eastAsia="en-AU" w:bidi="ar-SA"/>
        </w:rPr>
      </w:pPr>
    </w:p>
    <w:p w14:paraId="3A167074" w14:textId="131C079C" w:rsidR="00F05C8F" w:rsidRDefault="00311D39" w:rsidP="00DE7BC1">
      <w:pPr>
        <w:rPr>
          <w:lang w:eastAsia="en-AU" w:bidi="ar-SA"/>
        </w:rPr>
      </w:pPr>
      <w:r>
        <w:rPr>
          <w:lang w:eastAsia="en-AU" w:bidi="ar-SA"/>
        </w:rPr>
        <w:t xml:space="preserve">Carrageenan </w:t>
      </w:r>
      <w:r w:rsidR="002147DB">
        <w:rPr>
          <w:lang w:eastAsia="en-AU" w:bidi="ar-SA"/>
        </w:rPr>
        <w:t>was</w:t>
      </w:r>
      <w:r>
        <w:rPr>
          <w:lang w:eastAsia="en-AU" w:bidi="ar-SA"/>
        </w:rPr>
        <w:t xml:space="preserve"> evaluated by JECFA at its </w:t>
      </w:r>
      <w:r w:rsidR="009B22A9">
        <w:rPr>
          <w:lang w:eastAsia="en-AU" w:bidi="ar-SA"/>
        </w:rPr>
        <w:t>13</w:t>
      </w:r>
      <w:r w:rsidR="009B22A9" w:rsidRPr="00607F96">
        <w:rPr>
          <w:vertAlign w:val="superscript"/>
          <w:lang w:eastAsia="en-AU" w:bidi="ar-SA"/>
        </w:rPr>
        <w:t>th</w:t>
      </w:r>
      <w:r w:rsidR="009B22A9">
        <w:rPr>
          <w:lang w:eastAsia="en-AU" w:bidi="ar-SA"/>
        </w:rPr>
        <w:t>, 17</w:t>
      </w:r>
      <w:r w:rsidR="009B22A9" w:rsidRPr="00607F96">
        <w:rPr>
          <w:vertAlign w:val="superscript"/>
          <w:lang w:eastAsia="en-AU" w:bidi="ar-SA"/>
        </w:rPr>
        <w:t>th</w:t>
      </w:r>
      <w:r w:rsidR="009B22A9">
        <w:rPr>
          <w:lang w:eastAsia="en-AU" w:bidi="ar-SA"/>
        </w:rPr>
        <w:t>,</w:t>
      </w:r>
      <w:r>
        <w:rPr>
          <w:lang w:eastAsia="en-AU" w:bidi="ar-SA"/>
        </w:rPr>
        <w:t xml:space="preserve"> </w:t>
      </w:r>
      <w:r w:rsidR="009B22A9">
        <w:rPr>
          <w:lang w:eastAsia="en-AU" w:bidi="ar-SA"/>
        </w:rPr>
        <w:t>28</w:t>
      </w:r>
      <w:r w:rsidR="009B22A9" w:rsidRPr="00B21EBB">
        <w:rPr>
          <w:vertAlign w:val="superscript"/>
          <w:lang w:eastAsia="en-AU" w:bidi="ar-SA"/>
        </w:rPr>
        <w:t>th</w:t>
      </w:r>
      <w:r w:rsidR="009B22A9">
        <w:rPr>
          <w:lang w:eastAsia="en-AU" w:bidi="ar-SA"/>
        </w:rPr>
        <w:t>,</w:t>
      </w:r>
      <w:r>
        <w:rPr>
          <w:lang w:eastAsia="en-AU" w:bidi="ar-SA"/>
        </w:rPr>
        <w:t xml:space="preserve"> </w:t>
      </w:r>
      <w:r w:rsidR="009B22A9">
        <w:rPr>
          <w:lang w:eastAsia="en-AU" w:bidi="ar-SA"/>
        </w:rPr>
        <w:t>51</w:t>
      </w:r>
      <w:r w:rsidR="009B22A9" w:rsidRPr="00B21EBB">
        <w:rPr>
          <w:vertAlign w:val="superscript"/>
          <w:lang w:eastAsia="en-AU" w:bidi="ar-SA"/>
        </w:rPr>
        <w:t>st</w:t>
      </w:r>
      <w:r w:rsidR="009B22A9">
        <w:rPr>
          <w:lang w:eastAsia="en-AU" w:bidi="ar-SA"/>
        </w:rPr>
        <w:t>,</w:t>
      </w:r>
      <w:r>
        <w:rPr>
          <w:lang w:eastAsia="en-AU" w:bidi="ar-SA"/>
        </w:rPr>
        <w:t xml:space="preserve"> </w:t>
      </w:r>
      <w:r w:rsidR="009B22A9">
        <w:rPr>
          <w:lang w:eastAsia="en-AU" w:bidi="ar-SA"/>
        </w:rPr>
        <w:t>57</w:t>
      </w:r>
      <w:r w:rsidR="009B22A9" w:rsidRPr="00B21EBB">
        <w:rPr>
          <w:vertAlign w:val="superscript"/>
          <w:lang w:eastAsia="en-AU" w:bidi="ar-SA"/>
        </w:rPr>
        <w:t>th</w:t>
      </w:r>
      <w:r w:rsidR="009B22A9">
        <w:rPr>
          <w:lang w:eastAsia="en-AU" w:bidi="ar-SA"/>
        </w:rPr>
        <w:t xml:space="preserve"> </w:t>
      </w:r>
      <w:r>
        <w:rPr>
          <w:lang w:eastAsia="en-AU" w:bidi="ar-SA"/>
        </w:rPr>
        <w:t>and</w:t>
      </w:r>
      <w:r w:rsidR="009B22A9">
        <w:rPr>
          <w:lang w:eastAsia="en-AU" w:bidi="ar-SA"/>
        </w:rPr>
        <w:t xml:space="preserve"> 68</w:t>
      </w:r>
      <w:r w:rsidR="009B22A9" w:rsidRPr="00B21EBB">
        <w:rPr>
          <w:vertAlign w:val="superscript"/>
          <w:lang w:eastAsia="en-AU" w:bidi="ar-SA"/>
        </w:rPr>
        <w:t>th</w:t>
      </w:r>
      <w:r>
        <w:rPr>
          <w:lang w:eastAsia="en-AU" w:bidi="ar-SA"/>
        </w:rPr>
        <w:t xml:space="preserve"> meetings. An ADI of ‘not specified’ was established at the </w:t>
      </w:r>
      <w:r w:rsidR="009B22A9">
        <w:rPr>
          <w:lang w:eastAsia="en-AU" w:bidi="ar-SA"/>
        </w:rPr>
        <w:t>28</w:t>
      </w:r>
      <w:r w:rsidR="009B22A9" w:rsidRPr="00607F96">
        <w:rPr>
          <w:vertAlign w:val="superscript"/>
          <w:lang w:eastAsia="en-AU" w:bidi="ar-SA"/>
        </w:rPr>
        <w:t>th</w:t>
      </w:r>
      <w:r>
        <w:rPr>
          <w:lang w:eastAsia="en-AU" w:bidi="ar-SA"/>
        </w:rPr>
        <w:t xml:space="preserve"> meeting</w:t>
      </w:r>
      <w:r w:rsidR="000B78A8">
        <w:rPr>
          <w:lang w:eastAsia="en-AU" w:bidi="ar-SA"/>
        </w:rPr>
        <w:t xml:space="preserve">. At its </w:t>
      </w:r>
      <w:r w:rsidR="009B22A9">
        <w:rPr>
          <w:lang w:eastAsia="en-AU" w:bidi="ar-SA"/>
        </w:rPr>
        <w:t>44</w:t>
      </w:r>
      <w:r w:rsidR="009B22A9" w:rsidRPr="00B21EBB">
        <w:rPr>
          <w:vertAlign w:val="superscript"/>
          <w:lang w:eastAsia="en-AU" w:bidi="ar-SA"/>
        </w:rPr>
        <w:t>th</w:t>
      </w:r>
      <w:r w:rsidR="000B78A8">
        <w:rPr>
          <w:lang w:eastAsia="en-AU" w:bidi="ar-SA"/>
        </w:rPr>
        <w:t xml:space="preserve"> meeting, </w:t>
      </w:r>
      <w:r w:rsidR="009B22A9">
        <w:rPr>
          <w:lang w:eastAsia="en-AU" w:bidi="ar-SA"/>
        </w:rPr>
        <w:t xml:space="preserve">JECFA </w:t>
      </w:r>
      <w:r w:rsidR="00B21EBB">
        <w:rPr>
          <w:lang w:eastAsia="en-AU" w:bidi="ar-SA"/>
        </w:rPr>
        <w:t>extended</w:t>
      </w:r>
      <w:r>
        <w:rPr>
          <w:lang w:eastAsia="en-AU" w:bidi="ar-SA"/>
        </w:rPr>
        <w:t xml:space="preserve"> this ADI to include processed </w:t>
      </w:r>
      <w:r w:rsidRPr="00311D39">
        <w:rPr>
          <w:i/>
          <w:lang w:eastAsia="en-AU" w:bidi="ar-SA"/>
        </w:rPr>
        <w:t>Eucheuma</w:t>
      </w:r>
      <w:r>
        <w:rPr>
          <w:lang w:eastAsia="en-AU" w:bidi="ar-SA"/>
        </w:rPr>
        <w:t xml:space="preserve"> seaweed at the </w:t>
      </w:r>
      <w:r w:rsidR="009B22A9">
        <w:rPr>
          <w:lang w:eastAsia="en-AU" w:bidi="ar-SA"/>
        </w:rPr>
        <w:t>51</w:t>
      </w:r>
      <w:r w:rsidR="009B22A9" w:rsidRPr="00607F96">
        <w:rPr>
          <w:vertAlign w:val="superscript"/>
          <w:lang w:eastAsia="en-AU" w:bidi="ar-SA"/>
        </w:rPr>
        <w:t>st</w:t>
      </w:r>
      <w:r>
        <w:rPr>
          <w:lang w:eastAsia="en-AU" w:bidi="ar-SA"/>
        </w:rPr>
        <w:t xml:space="preserve"> meeting</w:t>
      </w:r>
      <w:r w:rsidR="000B78A8">
        <w:rPr>
          <w:lang w:eastAsia="en-AU" w:bidi="ar-SA"/>
        </w:rPr>
        <w:t xml:space="preserve">, but made </w:t>
      </w:r>
      <w:r w:rsidR="00B21EBB">
        <w:rPr>
          <w:lang w:eastAsia="en-AU" w:bidi="ar-SA"/>
        </w:rPr>
        <w:t xml:space="preserve">the ADI </w:t>
      </w:r>
      <w:r w:rsidR="000B78A8">
        <w:rPr>
          <w:lang w:eastAsia="en-AU" w:bidi="ar-SA"/>
        </w:rPr>
        <w:t xml:space="preserve">temporary for </w:t>
      </w:r>
      <w:r w:rsidR="001E3174">
        <w:rPr>
          <w:lang w:eastAsia="en-AU" w:bidi="ar-SA"/>
        </w:rPr>
        <w:t>carrageenan</w:t>
      </w:r>
      <w:r w:rsidR="000B78A8">
        <w:rPr>
          <w:lang w:eastAsia="en-AU" w:bidi="ar-SA"/>
        </w:rPr>
        <w:t xml:space="preserve"> and processed </w:t>
      </w:r>
      <w:r w:rsidR="000B78A8" w:rsidRPr="00B21EBB">
        <w:rPr>
          <w:i/>
          <w:lang w:eastAsia="en-AU" w:bidi="ar-SA"/>
        </w:rPr>
        <w:t>Eucheuma</w:t>
      </w:r>
      <w:r w:rsidR="000B78A8">
        <w:rPr>
          <w:lang w:eastAsia="en-AU" w:bidi="ar-SA"/>
        </w:rPr>
        <w:t xml:space="preserve"> seaweed, pending clarification of the significance of promotion of colon cancer in rats</w:t>
      </w:r>
      <w:r>
        <w:rPr>
          <w:lang w:eastAsia="en-AU" w:bidi="ar-SA"/>
        </w:rPr>
        <w:t xml:space="preserve">. The group ADI for carrageenan and processed </w:t>
      </w:r>
      <w:r w:rsidRPr="00311D39">
        <w:rPr>
          <w:i/>
          <w:lang w:eastAsia="en-AU" w:bidi="ar-SA"/>
        </w:rPr>
        <w:t>Eucheuma</w:t>
      </w:r>
      <w:r>
        <w:rPr>
          <w:lang w:eastAsia="en-AU" w:bidi="ar-SA"/>
        </w:rPr>
        <w:t xml:space="preserve"> seaweed was finali</w:t>
      </w:r>
      <w:r w:rsidR="00F05C8F">
        <w:rPr>
          <w:lang w:eastAsia="en-AU" w:bidi="ar-SA"/>
        </w:rPr>
        <w:t>s</w:t>
      </w:r>
      <w:r>
        <w:rPr>
          <w:lang w:eastAsia="en-AU" w:bidi="ar-SA"/>
        </w:rPr>
        <w:t xml:space="preserve">ed at the </w:t>
      </w:r>
      <w:r w:rsidR="009B22A9">
        <w:rPr>
          <w:lang w:eastAsia="en-AU" w:bidi="ar-SA"/>
        </w:rPr>
        <w:t>57</w:t>
      </w:r>
      <w:r w:rsidR="009B22A9" w:rsidRPr="00607F96">
        <w:rPr>
          <w:vertAlign w:val="superscript"/>
          <w:lang w:eastAsia="en-AU" w:bidi="ar-SA"/>
        </w:rPr>
        <w:t>th</w:t>
      </w:r>
      <w:r>
        <w:rPr>
          <w:lang w:eastAsia="en-AU" w:bidi="ar-SA"/>
        </w:rPr>
        <w:t xml:space="preserve"> meeting</w:t>
      </w:r>
      <w:r w:rsidR="00DE7BC1">
        <w:rPr>
          <w:lang w:eastAsia="en-AU" w:bidi="ar-SA"/>
        </w:rPr>
        <w:t xml:space="preserve">. </w:t>
      </w:r>
    </w:p>
    <w:p w14:paraId="2FCD5BE1" w14:textId="77777777" w:rsidR="00F05C8F" w:rsidRDefault="00F05C8F" w:rsidP="00DE7BC1">
      <w:pPr>
        <w:rPr>
          <w:lang w:eastAsia="en-AU" w:bidi="ar-SA"/>
        </w:rPr>
      </w:pPr>
    </w:p>
    <w:p w14:paraId="0CB785F9" w14:textId="2F43AB14" w:rsidR="00311D39" w:rsidRDefault="00DE7BC1" w:rsidP="00DE7BC1">
      <w:pPr>
        <w:rPr>
          <w:lang w:eastAsia="en-AU" w:bidi="ar-SA"/>
        </w:rPr>
      </w:pPr>
      <w:r>
        <w:rPr>
          <w:lang w:eastAsia="en-AU" w:bidi="ar-SA"/>
        </w:rPr>
        <w:t>At that meeting,</w:t>
      </w:r>
      <w:r w:rsidR="00F05C8F">
        <w:rPr>
          <w:lang w:eastAsia="en-AU" w:bidi="ar-SA"/>
        </w:rPr>
        <w:t xml:space="preserve"> JECFA </w:t>
      </w:r>
      <w:r>
        <w:rPr>
          <w:lang w:eastAsia="en-AU" w:bidi="ar-SA"/>
        </w:rPr>
        <w:t xml:space="preserve">concluded </w:t>
      </w:r>
      <w:r w:rsidR="000B78A8">
        <w:rPr>
          <w:lang w:eastAsia="en-AU" w:bidi="ar-SA"/>
        </w:rPr>
        <w:t>that continuous feeding of high doses of carrageenan caused a generali</w:t>
      </w:r>
      <w:r w:rsidR="009B22A9">
        <w:rPr>
          <w:lang w:eastAsia="en-AU" w:bidi="ar-SA"/>
        </w:rPr>
        <w:t>s</w:t>
      </w:r>
      <w:r w:rsidR="000B78A8">
        <w:rPr>
          <w:lang w:eastAsia="en-AU" w:bidi="ar-SA"/>
        </w:rPr>
        <w:t>ed proliferative response in the colonic mucosa of male rats</w:t>
      </w:r>
      <w:r>
        <w:rPr>
          <w:lang w:eastAsia="en-AU" w:bidi="ar-SA"/>
        </w:rPr>
        <w:t xml:space="preserve">, a response that might play a role in the observed promotion by high doses of carrageenan of the </w:t>
      </w:r>
      <w:r w:rsidR="002A093D">
        <w:rPr>
          <w:lang w:eastAsia="en-AU" w:bidi="ar-SA"/>
        </w:rPr>
        <w:t>tumourigenicity</w:t>
      </w:r>
      <w:r>
        <w:rPr>
          <w:lang w:eastAsia="en-AU" w:bidi="ar-SA"/>
        </w:rPr>
        <w:t xml:space="preserve"> of known colon carcinogens</w:t>
      </w:r>
      <w:r w:rsidR="00311D39">
        <w:rPr>
          <w:lang w:eastAsia="en-AU" w:bidi="ar-SA"/>
        </w:rPr>
        <w:t xml:space="preserve">. </w:t>
      </w:r>
      <w:r>
        <w:rPr>
          <w:lang w:eastAsia="en-AU" w:bidi="ar-SA"/>
        </w:rPr>
        <w:t>However</w:t>
      </w:r>
      <w:r w:rsidR="00F05C8F">
        <w:rPr>
          <w:lang w:eastAsia="en-AU" w:bidi="ar-SA"/>
        </w:rPr>
        <w:t>,</w:t>
      </w:r>
      <w:r>
        <w:rPr>
          <w:lang w:eastAsia="en-AU" w:bidi="ar-SA"/>
        </w:rPr>
        <w:t xml:space="preserve"> </w:t>
      </w:r>
      <w:r w:rsidR="009B22A9">
        <w:rPr>
          <w:lang w:eastAsia="en-AU" w:bidi="ar-SA"/>
        </w:rPr>
        <w:t>JECFA</w:t>
      </w:r>
      <w:r>
        <w:rPr>
          <w:lang w:eastAsia="en-AU" w:bidi="ar-SA"/>
        </w:rPr>
        <w:t xml:space="preserve"> noted that the enhancement of colon carcinogenesis in rats was seen only at a dietary concentration far exceeding likely human intake, and that carrageenan at 50 g/kg of diet did not promote tumours in rat colon in a classical initiation–promotion study. </w:t>
      </w:r>
      <w:r w:rsidR="009B22A9">
        <w:rPr>
          <w:lang w:eastAsia="en-AU" w:bidi="ar-SA"/>
        </w:rPr>
        <w:t>JECFA</w:t>
      </w:r>
      <w:r>
        <w:rPr>
          <w:lang w:eastAsia="en-AU" w:bidi="ar-SA"/>
        </w:rPr>
        <w:t xml:space="preserve"> </w:t>
      </w:r>
      <w:r w:rsidR="00706F89">
        <w:rPr>
          <w:lang w:eastAsia="en-AU" w:bidi="ar-SA"/>
        </w:rPr>
        <w:t xml:space="preserve">therefore </w:t>
      </w:r>
      <w:r>
        <w:rPr>
          <w:lang w:eastAsia="en-AU" w:bidi="ar-SA"/>
        </w:rPr>
        <w:t xml:space="preserve">considered that intake of carrageenan and processed </w:t>
      </w:r>
      <w:r w:rsidRPr="00706F89">
        <w:rPr>
          <w:i/>
          <w:lang w:eastAsia="en-AU" w:bidi="ar-SA"/>
        </w:rPr>
        <w:t>Eucheuma</w:t>
      </w:r>
      <w:r>
        <w:rPr>
          <w:lang w:eastAsia="en-AU" w:bidi="ar-SA"/>
        </w:rPr>
        <w:t xml:space="preserve"> seaweed was not of concern and allocated a group ADI of ‘not specified‘ for carrageenan and processed </w:t>
      </w:r>
      <w:r w:rsidRPr="00706F89">
        <w:rPr>
          <w:i/>
          <w:lang w:eastAsia="en-AU" w:bidi="ar-SA"/>
        </w:rPr>
        <w:t xml:space="preserve">Eucheuma </w:t>
      </w:r>
      <w:r>
        <w:rPr>
          <w:lang w:eastAsia="en-AU" w:bidi="ar-SA"/>
        </w:rPr>
        <w:t xml:space="preserve">seaweed. </w:t>
      </w:r>
      <w:r w:rsidR="00311D39">
        <w:rPr>
          <w:lang w:eastAsia="en-AU" w:bidi="ar-SA"/>
        </w:rPr>
        <w:t xml:space="preserve">An addendum was prepared as a result of the </w:t>
      </w:r>
      <w:r w:rsidR="009B22A9">
        <w:rPr>
          <w:lang w:eastAsia="en-AU" w:bidi="ar-SA"/>
        </w:rPr>
        <w:t>79</w:t>
      </w:r>
      <w:r w:rsidR="009B22A9" w:rsidRPr="00B21EBB">
        <w:rPr>
          <w:vertAlign w:val="superscript"/>
          <w:lang w:eastAsia="en-AU" w:bidi="ar-SA"/>
        </w:rPr>
        <w:t>th</w:t>
      </w:r>
      <w:r w:rsidR="009B22A9">
        <w:rPr>
          <w:lang w:eastAsia="en-AU" w:bidi="ar-SA"/>
        </w:rPr>
        <w:t xml:space="preserve"> </w:t>
      </w:r>
      <w:r w:rsidR="00311D39">
        <w:rPr>
          <w:lang w:eastAsia="en-AU" w:bidi="ar-SA"/>
        </w:rPr>
        <w:t>JECFA meeting, and published in 2015 (WHO 2015).</w:t>
      </w:r>
      <w:r w:rsidR="00706F89">
        <w:rPr>
          <w:lang w:eastAsia="en-AU" w:bidi="ar-SA"/>
        </w:rPr>
        <w:t xml:space="preserve"> </w:t>
      </w:r>
    </w:p>
    <w:p w14:paraId="6A171B08" w14:textId="2141F599" w:rsidR="000B78A8" w:rsidRDefault="000B78A8" w:rsidP="00311D39">
      <w:pPr>
        <w:rPr>
          <w:lang w:eastAsia="en-AU" w:bidi="ar-SA"/>
        </w:rPr>
      </w:pPr>
    </w:p>
    <w:p w14:paraId="00F71AA4" w14:textId="016D7216" w:rsidR="00311D39" w:rsidRPr="00311D39" w:rsidRDefault="00311D39" w:rsidP="00311D39">
      <w:pPr>
        <w:rPr>
          <w:lang w:eastAsia="en-AU" w:bidi="ar-SA"/>
        </w:rPr>
      </w:pPr>
      <w:r>
        <w:rPr>
          <w:lang w:eastAsia="en-AU" w:bidi="ar-SA"/>
        </w:rPr>
        <w:t xml:space="preserve">The addenda from the </w:t>
      </w:r>
      <w:r w:rsidR="009B22A9">
        <w:rPr>
          <w:lang w:eastAsia="en-AU" w:bidi="ar-SA"/>
        </w:rPr>
        <w:t>79</w:t>
      </w:r>
      <w:r w:rsidR="009B22A9" w:rsidRPr="00B21EBB">
        <w:rPr>
          <w:vertAlign w:val="superscript"/>
          <w:lang w:eastAsia="en-AU" w:bidi="ar-SA"/>
        </w:rPr>
        <w:t>th</w:t>
      </w:r>
      <w:r w:rsidR="009B22A9">
        <w:rPr>
          <w:lang w:eastAsia="en-AU" w:bidi="ar-SA"/>
        </w:rPr>
        <w:t xml:space="preserve"> </w:t>
      </w:r>
      <w:r>
        <w:rPr>
          <w:lang w:eastAsia="en-AU" w:bidi="ar-SA"/>
        </w:rPr>
        <w:t xml:space="preserve">meeting </w:t>
      </w:r>
      <w:r w:rsidR="00043D35">
        <w:rPr>
          <w:lang w:eastAsia="en-AU" w:bidi="ar-SA"/>
        </w:rPr>
        <w:t>relate</w:t>
      </w:r>
      <w:r>
        <w:rPr>
          <w:lang w:eastAsia="en-AU" w:bidi="ar-SA"/>
        </w:rPr>
        <w:t xml:space="preserve"> to the use of pectins or carrageenan in infant formulas, but </w:t>
      </w:r>
      <w:r w:rsidR="00706F89">
        <w:rPr>
          <w:lang w:eastAsia="en-AU" w:bidi="ar-SA"/>
        </w:rPr>
        <w:t xml:space="preserve">are nevertheless relevant to this </w:t>
      </w:r>
      <w:r w:rsidR="009B22A9">
        <w:rPr>
          <w:lang w:eastAsia="en-AU" w:bidi="ar-SA"/>
        </w:rPr>
        <w:t>A</w:t>
      </w:r>
      <w:r w:rsidR="00706F89">
        <w:rPr>
          <w:lang w:eastAsia="en-AU" w:bidi="ar-SA"/>
        </w:rPr>
        <w:t xml:space="preserve">pplication because they </w:t>
      </w:r>
      <w:r w:rsidR="00043D35">
        <w:rPr>
          <w:lang w:eastAsia="en-AU" w:bidi="ar-SA"/>
        </w:rPr>
        <w:t xml:space="preserve">include </w:t>
      </w:r>
      <w:r>
        <w:rPr>
          <w:lang w:eastAsia="en-AU" w:bidi="ar-SA"/>
        </w:rPr>
        <w:t xml:space="preserve">new scientific evidence for the general safety of </w:t>
      </w:r>
      <w:r w:rsidR="00CD0D91">
        <w:rPr>
          <w:lang w:eastAsia="en-AU" w:bidi="ar-SA"/>
        </w:rPr>
        <w:t>pectins and carrageenan</w:t>
      </w:r>
      <w:r>
        <w:rPr>
          <w:lang w:eastAsia="en-AU" w:bidi="ar-SA"/>
        </w:rPr>
        <w:t>.</w:t>
      </w:r>
    </w:p>
    <w:p w14:paraId="4A4D8C8A" w14:textId="4C539613" w:rsidR="00311D39" w:rsidRDefault="009B22A9" w:rsidP="00B21EBB">
      <w:pPr>
        <w:pStyle w:val="Heading2"/>
      </w:pPr>
      <w:bookmarkStart w:id="9" w:name="_Toc473045653"/>
      <w:r>
        <w:t>2.2</w:t>
      </w:r>
      <w:r>
        <w:tab/>
      </w:r>
      <w:r w:rsidR="00311D39">
        <w:t xml:space="preserve">Evaluation of </w:t>
      </w:r>
      <w:r>
        <w:t>s</w:t>
      </w:r>
      <w:r w:rsidR="00311D39">
        <w:t xml:space="preserve">ubmitted </w:t>
      </w:r>
      <w:r>
        <w:t>d</w:t>
      </w:r>
      <w:r w:rsidR="00311D39">
        <w:t>ata</w:t>
      </w:r>
      <w:bookmarkEnd w:id="9"/>
    </w:p>
    <w:p w14:paraId="38C08EB2" w14:textId="7D108DC1" w:rsidR="00311D39" w:rsidRPr="00311D39" w:rsidRDefault="00311D39" w:rsidP="00311D39">
      <w:pPr>
        <w:rPr>
          <w:lang w:bidi="ar-SA"/>
        </w:rPr>
      </w:pPr>
      <w:r w:rsidRPr="00311D39">
        <w:rPr>
          <w:lang w:bidi="ar-SA"/>
        </w:rPr>
        <w:t xml:space="preserve">FSANZ has assessed the submitted evidence on the use of pectins and carrageenan as wine fining agents plus the safety of pectins and carrageenan including information on history of safe use. Together with information from the JECFA addenda published in </w:t>
      </w:r>
      <w:proofErr w:type="gramStart"/>
      <w:r w:rsidRPr="00311D39">
        <w:rPr>
          <w:lang w:bidi="ar-SA"/>
        </w:rPr>
        <w:t>2015,</w:t>
      </w:r>
      <w:proofErr w:type="gramEnd"/>
      <w:r w:rsidRPr="00311D39">
        <w:rPr>
          <w:lang w:bidi="ar-SA"/>
        </w:rPr>
        <w:t xml:space="preserve"> and some other published papers and reviews, the submitted data are considered suitable for hazard assessment for pectin and carrageenan.</w:t>
      </w:r>
    </w:p>
    <w:p w14:paraId="0D764843" w14:textId="77777777" w:rsidR="00CF2097" w:rsidRDefault="00CF2097" w:rsidP="00B21EBB">
      <w:pPr>
        <w:pStyle w:val="Heading1"/>
      </w:pPr>
      <w:bookmarkStart w:id="10" w:name="_Toc473045654"/>
      <w:r>
        <w:br w:type="page"/>
      </w:r>
    </w:p>
    <w:p w14:paraId="2D99CFD6" w14:textId="57C3CC02" w:rsidR="00311D39" w:rsidRDefault="009B22A9" w:rsidP="00B21EBB">
      <w:pPr>
        <w:pStyle w:val="Heading1"/>
      </w:pPr>
      <w:r>
        <w:lastRenderedPageBreak/>
        <w:t>3</w:t>
      </w:r>
      <w:r>
        <w:tab/>
      </w:r>
      <w:r w:rsidR="00311D39">
        <w:t xml:space="preserve">Food </w:t>
      </w:r>
      <w:r>
        <w:t>t</w:t>
      </w:r>
      <w:r w:rsidR="00311D39">
        <w:t xml:space="preserve">echnology </w:t>
      </w:r>
      <w:r>
        <w:t>a</w:t>
      </w:r>
      <w:r w:rsidR="00311D39">
        <w:t>ssessment</w:t>
      </w:r>
      <w:bookmarkEnd w:id="10"/>
    </w:p>
    <w:p w14:paraId="20B207B6" w14:textId="54CABEBB" w:rsidR="00311D39" w:rsidRDefault="009B22A9" w:rsidP="00B21EBB">
      <w:pPr>
        <w:pStyle w:val="Heading2"/>
      </w:pPr>
      <w:bookmarkStart w:id="11" w:name="_Toc473045655"/>
      <w:r>
        <w:t>3.1</w:t>
      </w:r>
      <w:r>
        <w:tab/>
      </w:r>
      <w:r w:rsidR="00311D39">
        <w:t>Specifications</w:t>
      </w:r>
      <w:bookmarkEnd w:id="11"/>
    </w:p>
    <w:p w14:paraId="56FEB60B" w14:textId="3058A1BA" w:rsidR="00311D39" w:rsidRDefault="00311D39" w:rsidP="00311D39">
      <w:pPr>
        <w:rPr>
          <w:lang w:eastAsia="en-AU" w:bidi="ar-SA"/>
        </w:rPr>
      </w:pPr>
      <w:r>
        <w:rPr>
          <w:lang w:eastAsia="en-AU" w:bidi="ar-SA"/>
        </w:rPr>
        <w:t xml:space="preserve">Section 15 of Standard 1.1.1 </w:t>
      </w:r>
      <w:r w:rsidR="009B22A9">
        <w:rPr>
          <w:lang w:eastAsia="en-AU" w:bidi="ar-SA"/>
        </w:rPr>
        <w:t xml:space="preserve">– </w:t>
      </w:r>
      <w:r w:rsidR="009B22A9" w:rsidRPr="00E71572">
        <w:t>Structure of the Code and general provisions</w:t>
      </w:r>
      <w:r w:rsidR="009B22A9">
        <w:t xml:space="preserve"> </w:t>
      </w:r>
      <w:r>
        <w:rPr>
          <w:lang w:eastAsia="en-AU" w:bidi="ar-SA"/>
        </w:rPr>
        <w:t>requires that, with some exceptions, all substances used as processing aids must comply with any relevant specification set out in Schedule 3. Schedule 3 states that the primary sources are specific editions of FAO JECFA Monographs</w:t>
      </w:r>
      <w:r w:rsidR="00CD0D91">
        <w:rPr>
          <w:lang w:eastAsia="en-AU" w:bidi="ar-SA"/>
        </w:rPr>
        <w:t>,</w:t>
      </w:r>
      <w:r>
        <w:rPr>
          <w:lang w:eastAsia="en-AU" w:bidi="ar-SA"/>
        </w:rPr>
        <w:t xml:space="preserve"> the United States Food Chemicals Codex, or Commission Regulation (EU) No 231/2012.</w:t>
      </w:r>
    </w:p>
    <w:p w14:paraId="049ABA16" w14:textId="77777777" w:rsidR="00311D39" w:rsidRDefault="00311D39" w:rsidP="00311D39">
      <w:pPr>
        <w:rPr>
          <w:lang w:eastAsia="en-AU" w:bidi="ar-SA"/>
        </w:rPr>
      </w:pPr>
    </w:p>
    <w:p w14:paraId="3689A87B" w14:textId="3EE19BA9" w:rsidR="00311D39" w:rsidRPr="00311D39" w:rsidRDefault="00311D39" w:rsidP="00311D39">
      <w:pPr>
        <w:rPr>
          <w:lang w:eastAsia="en-AU" w:bidi="ar-SA"/>
        </w:rPr>
      </w:pPr>
      <w:r>
        <w:rPr>
          <w:lang w:eastAsia="en-AU" w:bidi="ar-SA"/>
        </w:rPr>
        <w:t>These sources contain specifications for pectins and carrageenan.</w:t>
      </w:r>
    </w:p>
    <w:p w14:paraId="3DF2F179" w14:textId="53412E17" w:rsidR="00311D39" w:rsidRDefault="009B22A9" w:rsidP="00B21EBB">
      <w:pPr>
        <w:pStyle w:val="Heading2"/>
      </w:pPr>
      <w:bookmarkStart w:id="12" w:name="_Toc473045656"/>
      <w:r>
        <w:t>3.2</w:t>
      </w:r>
      <w:r>
        <w:tab/>
      </w:r>
      <w:r w:rsidR="00311D39">
        <w:t xml:space="preserve">Technological </w:t>
      </w:r>
      <w:r>
        <w:t>f</w:t>
      </w:r>
      <w:r w:rsidR="00311D39">
        <w:t>unction</w:t>
      </w:r>
      <w:bookmarkEnd w:id="12"/>
    </w:p>
    <w:p w14:paraId="7A7F6013" w14:textId="368E31C6" w:rsidR="00311D39" w:rsidRDefault="00311D39" w:rsidP="00311D39">
      <w:pPr>
        <w:rPr>
          <w:lang w:eastAsia="en-AU" w:bidi="ar-SA"/>
        </w:rPr>
      </w:pPr>
      <w:r>
        <w:rPr>
          <w:lang w:eastAsia="en-AU" w:bidi="ar-SA"/>
        </w:rPr>
        <w:t>Pectins and carrageenan are negatively charged polysaccharides. They are commonly used as food additives with the functions of emulsifier, gelling agent, glazing agent, stabiliser or thickener.</w:t>
      </w:r>
    </w:p>
    <w:p w14:paraId="0395B151" w14:textId="77777777" w:rsidR="00311D39" w:rsidRDefault="00311D39" w:rsidP="00311D39">
      <w:pPr>
        <w:rPr>
          <w:lang w:eastAsia="en-AU" w:bidi="ar-SA"/>
        </w:rPr>
      </w:pPr>
    </w:p>
    <w:p w14:paraId="20C02002" w14:textId="14B76D9A" w:rsidR="00311D39" w:rsidRDefault="00311D39" w:rsidP="00311D39">
      <w:pPr>
        <w:rPr>
          <w:lang w:eastAsia="en-AU" w:bidi="ar-SA"/>
        </w:rPr>
      </w:pPr>
      <w:r>
        <w:rPr>
          <w:lang w:eastAsia="en-AU" w:bidi="ar-SA"/>
        </w:rPr>
        <w:t>However, their ability to form complexes with positively charged molecules, including proteins, means that they can also be used as processing aids to assist in the removal of the positively charged components through filtration or settling. As noted above, pectins and carrageenan are already permitted processing aids as defined in Standard 1.3.</w:t>
      </w:r>
      <w:r w:rsidR="009B22A9">
        <w:rPr>
          <w:lang w:eastAsia="en-AU" w:bidi="ar-SA"/>
        </w:rPr>
        <w:t>3</w:t>
      </w:r>
      <w:r>
        <w:rPr>
          <w:lang w:eastAsia="en-AU" w:bidi="ar-SA"/>
        </w:rPr>
        <w:t xml:space="preserve">, by virtue of being food additives permitted at GMP in Schedule 16, including, for example, in the fining of beer. </w:t>
      </w:r>
    </w:p>
    <w:p w14:paraId="0598AD52" w14:textId="77777777" w:rsidR="00311D39" w:rsidRDefault="00311D39" w:rsidP="00311D39">
      <w:pPr>
        <w:rPr>
          <w:lang w:eastAsia="en-AU" w:bidi="ar-SA"/>
        </w:rPr>
      </w:pPr>
    </w:p>
    <w:p w14:paraId="4D3DC5EE" w14:textId="77777777" w:rsidR="00311D39" w:rsidRDefault="00311D39" w:rsidP="00311D39">
      <w:pPr>
        <w:rPr>
          <w:lang w:eastAsia="en-AU" w:bidi="ar-SA"/>
        </w:rPr>
      </w:pPr>
      <w:r>
        <w:rPr>
          <w:lang w:eastAsia="en-AU" w:bidi="ar-SA"/>
        </w:rPr>
        <w:t>The Application is for the specific inclusion of pectins and carrageenan as processing aids in Standard 4.5.1, the scope of which is the production of wine in Australia, and so this is the only use considered with respect to technological function.</w:t>
      </w:r>
    </w:p>
    <w:p w14:paraId="55DF1C91" w14:textId="77777777" w:rsidR="00311D39" w:rsidRDefault="00311D39" w:rsidP="00311D39">
      <w:pPr>
        <w:rPr>
          <w:lang w:eastAsia="en-AU" w:bidi="ar-SA"/>
        </w:rPr>
      </w:pPr>
    </w:p>
    <w:p w14:paraId="5A113E64" w14:textId="3A572796" w:rsidR="00311D39" w:rsidRPr="00311D39" w:rsidRDefault="00311D39" w:rsidP="00311D39">
      <w:pPr>
        <w:rPr>
          <w:lang w:eastAsia="en-AU" w:bidi="ar-SA"/>
        </w:rPr>
      </w:pPr>
      <w:r>
        <w:rPr>
          <w:lang w:eastAsia="en-AU" w:bidi="ar-SA"/>
        </w:rPr>
        <w:t xml:space="preserve">Laboratory and industrial-scale trials were conducted on the use of pectins and/or carrageenan as fining agents during wine manufacture (Marangon </w:t>
      </w:r>
      <w:r w:rsidRPr="000B78A8">
        <w:rPr>
          <w:lang w:eastAsia="en-AU" w:bidi="ar-SA"/>
        </w:rPr>
        <w:t>et al</w:t>
      </w:r>
      <w:r w:rsidR="009B0CAF" w:rsidRPr="00024C6E">
        <w:rPr>
          <w:lang w:eastAsia="en-AU" w:bidi="ar-SA"/>
        </w:rPr>
        <w:t>.</w:t>
      </w:r>
      <w:r>
        <w:rPr>
          <w:lang w:eastAsia="en-AU" w:bidi="ar-SA"/>
        </w:rPr>
        <w:t xml:space="preserve"> 2012). The trials showed that pectins and/or carrageenan were effective in removing protein and protein haze and that the level of bentonite required as a fining agent was significantly reduced. The process of settling resulted in the levels of polysaccharides in the final wine being the same as when pectins and carrageenans were not used, with the authors concluding “that there was little chance of having residual polysaccharides of non-grape origin in the finished wines”.</w:t>
      </w:r>
    </w:p>
    <w:p w14:paraId="6296CFB7" w14:textId="47C8108E" w:rsidR="00311D39" w:rsidRDefault="009B22A9" w:rsidP="00B21EBB">
      <w:pPr>
        <w:pStyle w:val="Heading2"/>
      </w:pPr>
      <w:bookmarkStart w:id="13" w:name="_Toc473045657"/>
      <w:r>
        <w:t>3.3</w:t>
      </w:r>
      <w:r>
        <w:tab/>
      </w:r>
      <w:r w:rsidR="00311D39">
        <w:t xml:space="preserve">Food </w:t>
      </w:r>
      <w:r>
        <w:t>t</w:t>
      </w:r>
      <w:r w:rsidR="00311D39">
        <w:t xml:space="preserve">echnology </w:t>
      </w:r>
      <w:r>
        <w:t>c</w:t>
      </w:r>
      <w:r w:rsidR="00311D39">
        <w:t>onclusion</w:t>
      </w:r>
      <w:bookmarkEnd w:id="13"/>
    </w:p>
    <w:p w14:paraId="629355A6" w14:textId="612FF0E6" w:rsidR="00311D39" w:rsidRPr="00311D39" w:rsidRDefault="00311D39" w:rsidP="00311D39">
      <w:pPr>
        <w:rPr>
          <w:lang w:eastAsia="en-AU" w:bidi="ar-SA"/>
        </w:rPr>
      </w:pPr>
      <w:r w:rsidRPr="00311D39">
        <w:rPr>
          <w:lang w:eastAsia="en-AU" w:bidi="ar-SA"/>
        </w:rPr>
        <w:t>The evidence presented to support the proposed use provides adequate assurance that pectins and carrageenan are technologically effective as fining agents in wine manufacture and provide alternatives to the use of bentonite for this purpose. The residual levels in wine are very low and do not perform any technological purpose in the final product. There are identity and purity specifications for pectins and carrageenan in the primary reference sources listed in Schedule 3</w:t>
      </w:r>
      <w:r w:rsidR="009B22A9">
        <w:rPr>
          <w:lang w:eastAsia="en-AU" w:bidi="ar-SA"/>
        </w:rPr>
        <w:t xml:space="preserve"> –</w:t>
      </w:r>
      <w:r w:rsidR="009B22A9" w:rsidRPr="009B22A9">
        <w:t xml:space="preserve"> </w:t>
      </w:r>
      <w:r w:rsidR="009B22A9" w:rsidRPr="00E71572">
        <w:t>Identity and purity</w:t>
      </w:r>
      <w:r w:rsidRPr="00311D39">
        <w:rPr>
          <w:lang w:eastAsia="en-AU" w:bidi="ar-SA"/>
        </w:rPr>
        <w:t>.</w:t>
      </w:r>
    </w:p>
    <w:p w14:paraId="006B7AFD" w14:textId="0739952E" w:rsidR="00A107D1" w:rsidRDefault="009B22A9" w:rsidP="00B21EBB">
      <w:pPr>
        <w:pStyle w:val="Heading1"/>
      </w:pPr>
      <w:bookmarkStart w:id="14" w:name="_Toc473045658"/>
      <w:r>
        <w:lastRenderedPageBreak/>
        <w:t>4</w:t>
      </w:r>
      <w:r>
        <w:tab/>
      </w:r>
      <w:r w:rsidR="00AE121C">
        <w:t xml:space="preserve">Hazard </w:t>
      </w:r>
      <w:r>
        <w:t>a</w:t>
      </w:r>
      <w:r w:rsidR="00AE121C">
        <w:t>ssessment</w:t>
      </w:r>
      <w:bookmarkEnd w:id="14"/>
    </w:p>
    <w:p w14:paraId="22BC974A" w14:textId="50308305" w:rsidR="00EE5890" w:rsidRDefault="009B22A9" w:rsidP="00B21EBB">
      <w:pPr>
        <w:pStyle w:val="Heading2"/>
      </w:pPr>
      <w:bookmarkStart w:id="15" w:name="_Toc473045659"/>
      <w:r>
        <w:t>4.1</w:t>
      </w:r>
      <w:r>
        <w:tab/>
      </w:r>
      <w:r w:rsidR="00EE5890">
        <w:t>History of human exposure and consumption</w:t>
      </w:r>
      <w:bookmarkEnd w:id="15"/>
    </w:p>
    <w:p w14:paraId="10290CFE" w14:textId="28F7B172" w:rsidR="009B0CAF" w:rsidRDefault="009B22A9" w:rsidP="00B21EBB">
      <w:pPr>
        <w:pStyle w:val="Heading3"/>
      </w:pPr>
      <w:r>
        <w:t>4.1.1</w:t>
      </w:r>
      <w:r>
        <w:tab/>
      </w:r>
      <w:r w:rsidR="009B0CAF" w:rsidRPr="006F3EAD">
        <w:t>Pectin</w:t>
      </w:r>
      <w:r w:rsidR="009B0CAF">
        <w:t>s</w:t>
      </w:r>
    </w:p>
    <w:p w14:paraId="7666A8A5" w14:textId="3D55B875" w:rsidR="009B0CAF" w:rsidRDefault="009B0CAF" w:rsidP="009B0CAF">
      <w:pPr>
        <w:rPr>
          <w:rFonts w:cs="Arial"/>
          <w:i/>
          <w:szCs w:val="22"/>
        </w:rPr>
      </w:pPr>
      <w:r>
        <w:rPr>
          <w:rFonts w:cs="Arial"/>
          <w:szCs w:val="22"/>
        </w:rPr>
        <w:t>Pectin</w:t>
      </w:r>
      <w:r w:rsidR="006E782E">
        <w:rPr>
          <w:rFonts w:cs="Arial"/>
          <w:szCs w:val="22"/>
        </w:rPr>
        <w:t>s</w:t>
      </w:r>
      <w:r>
        <w:rPr>
          <w:rFonts w:cs="Arial"/>
          <w:szCs w:val="22"/>
        </w:rPr>
        <w:t xml:space="preserve"> have a longstanding history of safe use in food, for the purposes of </w:t>
      </w:r>
      <w:r w:rsidR="00CF2097">
        <w:rPr>
          <w:rFonts w:cs="Arial"/>
          <w:szCs w:val="22"/>
        </w:rPr>
        <w:t>gelling, thickening and stabilis</w:t>
      </w:r>
      <w:r>
        <w:rPr>
          <w:rFonts w:cs="Arial"/>
          <w:szCs w:val="22"/>
        </w:rPr>
        <w:t xml:space="preserve">ing. </w:t>
      </w:r>
    </w:p>
    <w:p w14:paraId="5B60BAA6" w14:textId="77777777" w:rsidR="009B0CAF" w:rsidRDefault="009B0CAF" w:rsidP="009B0CAF">
      <w:pPr>
        <w:rPr>
          <w:rFonts w:cs="Arial"/>
          <w:i/>
          <w:szCs w:val="22"/>
        </w:rPr>
      </w:pPr>
    </w:p>
    <w:p w14:paraId="033ECFBC" w14:textId="73AAA7C6" w:rsidR="009B0CAF" w:rsidRDefault="009B0CAF" w:rsidP="009B0CAF">
      <w:pPr>
        <w:rPr>
          <w:rFonts w:cs="Arial"/>
          <w:i/>
          <w:szCs w:val="22"/>
        </w:rPr>
      </w:pPr>
      <w:r>
        <w:rPr>
          <w:rFonts w:cs="Arial"/>
          <w:szCs w:val="22"/>
        </w:rPr>
        <w:t xml:space="preserve">Pectins also have a long history of use in pharmaceuticals </w:t>
      </w:r>
      <w:r w:rsidRPr="00FF1E12">
        <w:rPr>
          <w:rFonts w:cs="Arial"/>
          <w:szCs w:val="22"/>
        </w:rPr>
        <w:t>(May 1990).</w:t>
      </w:r>
      <w:r>
        <w:rPr>
          <w:rFonts w:cs="Arial"/>
          <w:szCs w:val="22"/>
        </w:rPr>
        <w:t xml:space="preserve"> </w:t>
      </w:r>
    </w:p>
    <w:p w14:paraId="1BB403F0" w14:textId="3DCF6862" w:rsidR="009B0CAF" w:rsidRDefault="00FB0697" w:rsidP="00B21EBB">
      <w:pPr>
        <w:pStyle w:val="Heading3"/>
      </w:pPr>
      <w:r>
        <w:t>4</w:t>
      </w:r>
      <w:r w:rsidR="00986304">
        <w:t>.1.2</w:t>
      </w:r>
      <w:r>
        <w:tab/>
      </w:r>
      <w:r w:rsidR="009B0CAF" w:rsidRPr="006F3EAD">
        <w:t>Carrageenan</w:t>
      </w:r>
    </w:p>
    <w:p w14:paraId="1D57A8FD" w14:textId="4F05BA65" w:rsidR="009B0CAF" w:rsidRDefault="009B0CAF" w:rsidP="009B0CAF">
      <w:pPr>
        <w:rPr>
          <w:rFonts w:cs="Arial"/>
          <w:szCs w:val="22"/>
        </w:rPr>
      </w:pPr>
      <w:r>
        <w:rPr>
          <w:rFonts w:cs="Arial"/>
          <w:szCs w:val="22"/>
        </w:rPr>
        <w:t xml:space="preserve">Carrageenan </w:t>
      </w:r>
      <w:r w:rsidR="006E782E">
        <w:rPr>
          <w:rFonts w:cs="Arial"/>
          <w:szCs w:val="22"/>
        </w:rPr>
        <w:t xml:space="preserve">also </w:t>
      </w:r>
      <w:r>
        <w:rPr>
          <w:rFonts w:cs="Arial"/>
          <w:szCs w:val="22"/>
        </w:rPr>
        <w:t xml:space="preserve">has a long history of safe use in food, for the purposes of thickening, gelling, stabilizing and glazing.  </w:t>
      </w:r>
    </w:p>
    <w:p w14:paraId="46FAB99E" w14:textId="77777777" w:rsidR="009B0CAF" w:rsidRDefault="009B0CAF" w:rsidP="009B0CAF">
      <w:pPr>
        <w:rPr>
          <w:rFonts w:cs="Arial"/>
          <w:szCs w:val="22"/>
        </w:rPr>
      </w:pPr>
    </w:p>
    <w:p w14:paraId="1BAFB5B9" w14:textId="77777777" w:rsidR="009B0CAF" w:rsidRPr="003F61EC" w:rsidRDefault="009B0CAF" w:rsidP="009B0CAF">
      <w:pPr>
        <w:rPr>
          <w:rFonts w:cs="Arial"/>
          <w:szCs w:val="22"/>
        </w:rPr>
      </w:pPr>
      <w:r>
        <w:rPr>
          <w:rFonts w:cs="Arial"/>
          <w:szCs w:val="22"/>
        </w:rPr>
        <w:t xml:space="preserve">Carrageenan gel matrices have industrial and pharmaceutical applications for the immobilization of bacteria and yeasts </w:t>
      </w:r>
      <w:r w:rsidRPr="00FF1E12">
        <w:rPr>
          <w:rFonts w:cs="Arial"/>
          <w:szCs w:val="22"/>
        </w:rPr>
        <w:t>(Necas and Bartosikova 2013</w:t>
      </w:r>
      <w:r>
        <w:rPr>
          <w:rFonts w:cs="Arial"/>
          <w:szCs w:val="22"/>
        </w:rPr>
        <w:t xml:space="preserve">). </w:t>
      </w:r>
    </w:p>
    <w:p w14:paraId="0AFD5016" w14:textId="1C7F7332" w:rsidR="00EE5890" w:rsidRDefault="00986304" w:rsidP="00B21EBB">
      <w:pPr>
        <w:pStyle w:val="Heading2"/>
      </w:pPr>
      <w:bookmarkStart w:id="16" w:name="_Toc473045660"/>
      <w:r>
        <w:t>4.2</w:t>
      </w:r>
      <w:r>
        <w:tab/>
      </w:r>
      <w:r w:rsidR="00EE5890">
        <w:t>Metabolism</w:t>
      </w:r>
      <w:bookmarkEnd w:id="16"/>
    </w:p>
    <w:p w14:paraId="10995F31" w14:textId="3608422B" w:rsidR="009B0CAF" w:rsidRDefault="00986304" w:rsidP="00B21EBB">
      <w:pPr>
        <w:pStyle w:val="Heading3"/>
      </w:pPr>
      <w:r>
        <w:t>4.2.1</w:t>
      </w:r>
      <w:r>
        <w:tab/>
      </w:r>
      <w:r w:rsidR="009B0CAF" w:rsidRPr="00F428ED">
        <w:t>Pectin</w:t>
      </w:r>
    </w:p>
    <w:p w14:paraId="1F272164" w14:textId="6CC85893" w:rsidR="009B0CAF" w:rsidRDefault="009B0CAF" w:rsidP="009B0CAF">
      <w:pPr>
        <w:rPr>
          <w:rFonts w:cs="Arial"/>
          <w:szCs w:val="22"/>
        </w:rPr>
      </w:pPr>
      <w:r>
        <w:rPr>
          <w:rFonts w:cs="Arial"/>
          <w:szCs w:val="22"/>
        </w:rPr>
        <w:t xml:space="preserve">Pectins are resistant to digestion in the small intestine, and are metabolized by microflora in the large intestine. </w:t>
      </w:r>
      <w:r w:rsidRPr="008970A4">
        <w:rPr>
          <w:rFonts w:cs="Arial"/>
          <w:i/>
          <w:szCs w:val="22"/>
        </w:rPr>
        <w:t>In vitro</w:t>
      </w:r>
      <w:r>
        <w:rPr>
          <w:rFonts w:cs="Arial"/>
          <w:szCs w:val="22"/>
        </w:rPr>
        <w:t xml:space="preserve">, pectins are metabolized to oligogalacturonic acid, which is further metabolized to acetate, </w:t>
      </w:r>
      <w:r w:rsidR="00BA111D">
        <w:rPr>
          <w:rFonts w:cs="Arial"/>
          <w:szCs w:val="22"/>
        </w:rPr>
        <w:t>propionate</w:t>
      </w:r>
      <w:r>
        <w:rPr>
          <w:rFonts w:cs="Arial"/>
          <w:szCs w:val="22"/>
        </w:rPr>
        <w:t xml:space="preserve"> and butyrate (</w:t>
      </w:r>
      <w:r w:rsidRPr="00FF1E12">
        <w:rPr>
          <w:rFonts w:cs="Arial"/>
          <w:szCs w:val="22"/>
        </w:rPr>
        <w:t>WHO 2015</w:t>
      </w:r>
      <w:r>
        <w:rPr>
          <w:rFonts w:cs="Arial"/>
          <w:szCs w:val="22"/>
        </w:rPr>
        <w:t xml:space="preserve">). Methanol is produced as a result of the large intestinal fermentation of pectins, but human consumption of large quantities (up to 50 g/day) of pectins is not associated with any </w:t>
      </w:r>
      <w:r w:rsidR="006E782E">
        <w:rPr>
          <w:rFonts w:cs="Arial"/>
          <w:szCs w:val="22"/>
        </w:rPr>
        <w:t xml:space="preserve">adverse </w:t>
      </w:r>
      <w:r>
        <w:rPr>
          <w:rFonts w:cs="Arial"/>
          <w:szCs w:val="22"/>
        </w:rPr>
        <w:t xml:space="preserve">effects that could be attributed to </w:t>
      </w:r>
      <w:r w:rsidRPr="00FF1E12">
        <w:rPr>
          <w:rFonts w:cs="Arial"/>
          <w:szCs w:val="22"/>
        </w:rPr>
        <w:t xml:space="preserve">methanol (Siragusa </w:t>
      </w:r>
      <w:r w:rsidRPr="000B78A8">
        <w:rPr>
          <w:rFonts w:cs="Arial"/>
          <w:szCs w:val="22"/>
        </w:rPr>
        <w:t>et al.</w:t>
      </w:r>
      <w:r w:rsidRPr="00FF1E12">
        <w:rPr>
          <w:rFonts w:cs="Arial"/>
          <w:szCs w:val="22"/>
        </w:rPr>
        <w:t xml:space="preserve"> 1988).</w:t>
      </w:r>
    </w:p>
    <w:p w14:paraId="0C012E1B" w14:textId="77D99CA2" w:rsidR="009B0CAF" w:rsidRDefault="00986304" w:rsidP="00B21EBB">
      <w:pPr>
        <w:pStyle w:val="Heading3"/>
      </w:pPr>
      <w:r>
        <w:t>4.2.2</w:t>
      </w:r>
      <w:r>
        <w:tab/>
      </w:r>
      <w:r w:rsidR="009B0CAF" w:rsidRPr="009B0CAF">
        <w:t>Carrageenan</w:t>
      </w:r>
    </w:p>
    <w:p w14:paraId="2CE574ED" w14:textId="62D21F84" w:rsidR="009B0CAF" w:rsidRPr="009B0CAF" w:rsidRDefault="009B0CAF" w:rsidP="009B0CAF">
      <w:pPr>
        <w:rPr>
          <w:lang w:eastAsia="en-AU" w:bidi="ar-SA"/>
        </w:rPr>
      </w:pPr>
      <w:r w:rsidRPr="009B0CAF">
        <w:rPr>
          <w:lang w:eastAsia="en-AU" w:bidi="ar-SA"/>
        </w:rPr>
        <w:t>Studies in a variety of species of experimental animals, including rats, guinea pigs and primates, have shown that there is negligible absorption of food grade carrageenan from the gastrointestinal tract (Weiner, 2014; WHO 2015).</w:t>
      </w:r>
    </w:p>
    <w:p w14:paraId="09A96A6E" w14:textId="0AAB6F80" w:rsidR="00EE5890" w:rsidRDefault="00986304" w:rsidP="00B21EBB">
      <w:pPr>
        <w:pStyle w:val="Heading2"/>
      </w:pPr>
      <w:bookmarkStart w:id="17" w:name="_Toc473045661"/>
      <w:r>
        <w:t>4.3</w:t>
      </w:r>
      <w:r>
        <w:tab/>
      </w:r>
      <w:r w:rsidR="00EE5890">
        <w:t>Genotoxicity studies</w:t>
      </w:r>
      <w:bookmarkEnd w:id="17"/>
    </w:p>
    <w:p w14:paraId="3F66BFA6" w14:textId="3FD07871" w:rsidR="009B0CAF" w:rsidRDefault="00986304" w:rsidP="00B21EBB">
      <w:pPr>
        <w:pStyle w:val="Heading3"/>
      </w:pPr>
      <w:r>
        <w:t>4.3.1</w:t>
      </w:r>
      <w:r>
        <w:tab/>
      </w:r>
      <w:r w:rsidR="009B0CAF" w:rsidRPr="00F428ED">
        <w:t>Pectin</w:t>
      </w:r>
      <w:r w:rsidR="009B0CAF">
        <w:t>s</w:t>
      </w:r>
    </w:p>
    <w:p w14:paraId="36C112B7" w14:textId="0364B774" w:rsidR="009B0CAF" w:rsidRPr="00617361" w:rsidRDefault="009B0CAF" w:rsidP="009B0CAF">
      <w:pPr>
        <w:rPr>
          <w:rFonts w:cs="Arial"/>
          <w:szCs w:val="22"/>
        </w:rPr>
      </w:pPr>
      <w:r>
        <w:rPr>
          <w:rFonts w:cs="Arial"/>
          <w:szCs w:val="22"/>
        </w:rPr>
        <w:t xml:space="preserve">On the basis of recent (2010) genotoxicity studies conducted under GLP and in accordance with OECD guidelines, </w:t>
      </w:r>
      <w:r w:rsidRPr="00FF1E12">
        <w:rPr>
          <w:rFonts w:cs="Arial"/>
          <w:szCs w:val="22"/>
        </w:rPr>
        <w:t>JECFA (WHO 2015)</w:t>
      </w:r>
      <w:r>
        <w:rPr>
          <w:rFonts w:cs="Arial"/>
          <w:szCs w:val="22"/>
        </w:rPr>
        <w:t xml:space="preserve"> concluded pectins are not genotoxic. The studies included the bacterial reverse mutation assay (Ames test) ± S9 fraction; mouse lymphoma assay, chromosome aberration assays (pulse and continuous) in Chinese hamster ovary cells, and a micronucleus test in rats. </w:t>
      </w:r>
      <w:r w:rsidR="00BB5A17">
        <w:rPr>
          <w:rFonts w:cs="Arial"/>
          <w:szCs w:val="22"/>
        </w:rPr>
        <w:t xml:space="preserve">The dose in the rat micronucleus test was 7 g/kg bw/day. </w:t>
      </w:r>
    </w:p>
    <w:p w14:paraId="6847B3BC" w14:textId="1FAC2961" w:rsidR="009B0CAF" w:rsidRPr="00F428ED" w:rsidRDefault="00986304" w:rsidP="00B21EBB">
      <w:pPr>
        <w:pStyle w:val="Heading3"/>
      </w:pPr>
      <w:r>
        <w:t>4.3.2</w:t>
      </w:r>
      <w:r>
        <w:tab/>
      </w:r>
      <w:r w:rsidR="009B0CAF" w:rsidRPr="00F428ED">
        <w:t>Carrageenan</w:t>
      </w:r>
    </w:p>
    <w:p w14:paraId="3B38C801" w14:textId="44DDF7A5" w:rsidR="00CF2097" w:rsidRDefault="009B0CAF" w:rsidP="009B0CAF">
      <w:pPr>
        <w:rPr>
          <w:rFonts w:cs="Arial"/>
          <w:iCs/>
          <w:szCs w:val="22"/>
        </w:rPr>
      </w:pPr>
      <w:r>
        <w:rPr>
          <w:rFonts w:cs="Arial"/>
          <w:iCs/>
          <w:szCs w:val="22"/>
        </w:rPr>
        <w:t xml:space="preserve">Carrageenan has been extensively evaluated for genotoxicity using a range of </w:t>
      </w:r>
      <w:r w:rsidRPr="00F14FE0">
        <w:rPr>
          <w:rFonts w:cs="Arial"/>
          <w:i/>
          <w:iCs/>
          <w:szCs w:val="22"/>
        </w:rPr>
        <w:t>in vitro</w:t>
      </w:r>
      <w:r>
        <w:rPr>
          <w:rFonts w:cs="Arial"/>
          <w:iCs/>
          <w:szCs w:val="22"/>
        </w:rPr>
        <w:t xml:space="preserve"> and </w:t>
      </w:r>
      <w:r w:rsidRPr="00F14FE0">
        <w:rPr>
          <w:rFonts w:cs="Arial"/>
          <w:i/>
          <w:iCs/>
          <w:szCs w:val="22"/>
        </w:rPr>
        <w:t>in vivo</w:t>
      </w:r>
      <w:r>
        <w:rPr>
          <w:rFonts w:cs="Arial"/>
          <w:iCs/>
          <w:szCs w:val="22"/>
        </w:rPr>
        <w:t xml:space="preserve"> assays, including the bacterial reverse mutation assay ± S9 fraction, sister chromatid exchange assays, cytogenetic assays, rec-assay in </w:t>
      </w:r>
      <w:r w:rsidRPr="00E261CB">
        <w:rPr>
          <w:rFonts w:cs="Arial"/>
          <w:i/>
          <w:iCs/>
          <w:szCs w:val="22"/>
        </w:rPr>
        <w:t>Bacillus subtilis</w:t>
      </w:r>
      <w:r>
        <w:rPr>
          <w:rFonts w:cs="Arial"/>
          <w:iCs/>
          <w:szCs w:val="22"/>
        </w:rPr>
        <w:t xml:space="preserve">, mouse micronucleus assay, host-mediated assays and dominant lethal assays in rats. Results of these various assays have been negative </w:t>
      </w:r>
      <w:r w:rsidRPr="00FF1E12">
        <w:rPr>
          <w:rFonts w:cs="Arial"/>
          <w:iCs/>
          <w:szCs w:val="22"/>
        </w:rPr>
        <w:t>(Cohen and Ito 2002).</w:t>
      </w:r>
      <w:r w:rsidR="00CF2097">
        <w:rPr>
          <w:rFonts w:cs="Arial"/>
          <w:iCs/>
          <w:szCs w:val="22"/>
        </w:rPr>
        <w:br w:type="page"/>
      </w:r>
    </w:p>
    <w:p w14:paraId="4172D15E" w14:textId="5C764924" w:rsidR="00EE5890" w:rsidRDefault="00986304" w:rsidP="00B21EBB">
      <w:pPr>
        <w:pStyle w:val="Heading2"/>
      </w:pPr>
      <w:bookmarkStart w:id="18" w:name="_Toc473045662"/>
      <w:r>
        <w:lastRenderedPageBreak/>
        <w:t>4.4</w:t>
      </w:r>
      <w:r>
        <w:tab/>
      </w:r>
      <w:r w:rsidR="00EE5890">
        <w:t>Studies in experimental animals</w:t>
      </w:r>
      <w:bookmarkEnd w:id="18"/>
    </w:p>
    <w:p w14:paraId="3CF33EB8" w14:textId="0A932C28" w:rsidR="009B0CAF" w:rsidRDefault="00986304" w:rsidP="00B21EBB">
      <w:pPr>
        <w:pStyle w:val="Heading3"/>
      </w:pPr>
      <w:r>
        <w:t>4.4.1</w:t>
      </w:r>
      <w:r>
        <w:tab/>
      </w:r>
      <w:r w:rsidR="009B0CAF" w:rsidRPr="00F428ED">
        <w:t>Pectin</w:t>
      </w:r>
      <w:r w:rsidR="009B0CAF">
        <w:t>s</w:t>
      </w:r>
    </w:p>
    <w:p w14:paraId="5BB378AA" w14:textId="6B19DC1F" w:rsidR="00592B43" w:rsidRDefault="009B0CAF" w:rsidP="009B0CAF">
      <w:pPr>
        <w:rPr>
          <w:rFonts w:cs="Arial"/>
          <w:szCs w:val="22"/>
        </w:rPr>
      </w:pPr>
      <w:r>
        <w:rPr>
          <w:rFonts w:cs="Arial"/>
          <w:szCs w:val="22"/>
        </w:rPr>
        <w:t xml:space="preserve">No new data on acute toxicity, long-term toxicity or carcinogenicity of pectins were identified at the </w:t>
      </w:r>
      <w:r w:rsidR="00986304">
        <w:rPr>
          <w:rFonts w:cs="Arial"/>
          <w:szCs w:val="22"/>
        </w:rPr>
        <w:t>79</w:t>
      </w:r>
      <w:r w:rsidR="00986304" w:rsidRPr="00B21EBB">
        <w:rPr>
          <w:rFonts w:cs="Arial"/>
          <w:szCs w:val="22"/>
          <w:vertAlign w:val="superscript"/>
        </w:rPr>
        <w:t>th</w:t>
      </w:r>
      <w:r w:rsidR="00986304">
        <w:rPr>
          <w:rFonts w:cs="Arial"/>
          <w:szCs w:val="22"/>
        </w:rPr>
        <w:t xml:space="preserve"> </w:t>
      </w:r>
      <w:r>
        <w:rPr>
          <w:rFonts w:cs="Arial"/>
          <w:szCs w:val="22"/>
        </w:rPr>
        <w:t xml:space="preserve">JECFA meeting. </w:t>
      </w:r>
    </w:p>
    <w:p w14:paraId="344CCB6E" w14:textId="77777777" w:rsidR="00592B43" w:rsidRDefault="00592B43" w:rsidP="009B0CAF">
      <w:pPr>
        <w:rPr>
          <w:rFonts w:cs="Arial"/>
          <w:szCs w:val="22"/>
        </w:rPr>
      </w:pPr>
    </w:p>
    <w:p w14:paraId="28A8EBE1" w14:textId="0F29090C" w:rsidR="009B0CAF" w:rsidRPr="00617361" w:rsidRDefault="009B0CAF" w:rsidP="009B0CAF">
      <w:pPr>
        <w:rPr>
          <w:rFonts w:cs="Arial"/>
          <w:szCs w:val="22"/>
        </w:rPr>
      </w:pPr>
      <w:r>
        <w:rPr>
          <w:rFonts w:cs="Arial"/>
          <w:szCs w:val="22"/>
        </w:rPr>
        <w:t>A one-generation GLP dietary study in Wistar rats, which included a 13-week subchronic study of the F1 offspring, was reviewed. It was concluded that no effects relevant to humans were found at doses up to and including the highest dose tested, which was 7.1 g/kg bodyweight/</w:t>
      </w:r>
      <w:r w:rsidRPr="00FF1E12">
        <w:rPr>
          <w:rFonts w:cs="Arial"/>
          <w:szCs w:val="22"/>
        </w:rPr>
        <w:t>day</w:t>
      </w:r>
      <w:r w:rsidR="007D1AA9">
        <w:rPr>
          <w:rFonts w:cs="Arial"/>
          <w:szCs w:val="22"/>
        </w:rPr>
        <w:t>. In two 13-week dietary studies of pectin-derived acidic oligosaccharides (pAOS) in rats, treatment-related diffuse hyperplasia of the urinary bladder epithelium was observed, in conjunction with increased urinary pH and sodium concentration. This is a well-recognized species-specific effect of increased urinary pH and sodium concentration in rats, which is not relevant to human risk assessment. The NOAEL of pAOS in these studies was approximately 7 g/kg bw/day, the highest dose tested</w:t>
      </w:r>
      <w:r w:rsidRPr="00FF1E12">
        <w:rPr>
          <w:rFonts w:cs="Arial"/>
          <w:szCs w:val="22"/>
        </w:rPr>
        <w:t xml:space="preserve"> (WHO 2015).</w:t>
      </w:r>
      <w:r>
        <w:rPr>
          <w:rFonts w:cs="Arial"/>
          <w:szCs w:val="22"/>
        </w:rPr>
        <w:t xml:space="preserve"> </w:t>
      </w:r>
    </w:p>
    <w:p w14:paraId="736DE868" w14:textId="77777777" w:rsidR="009B0CAF" w:rsidRDefault="009B0CAF" w:rsidP="009B0CAF">
      <w:pPr>
        <w:rPr>
          <w:rFonts w:cs="Arial"/>
          <w:i/>
          <w:szCs w:val="22"/>
        </w:rPr>
      </w:pPr>
    </w:p>
    <w:p w14:paraId="3B95CAA1" w14:textId="495F6A00" w:rsidR="002F5D40" w:rsidRDefault="00592B43" w:rsidP="009B0CAF">
      <w:pPr>
        <w:rPr>
          <w:rFonts w:cs="Arial"/>
          <w:i/>
          <w:szCs w:val="22"/>
        </w:rPr>
      </w:pPr>
      <w:r>
        <w:rPr>
          <w:rFonts w:cs="Arial"/>
          <w:szCs w:val="22"/>
        </w:rPr>
        <w:t>JECFA also reviewed two studies of pectin conducted in pigs. In a study of the effects of dietary fibre on intestinal morphology, conducted over nine days in weanling pigs,  inclusion of 7.1% pectin in the diet was associated with decreased feed intake and bodyweight gain, and with shorter crypts and increased crypt density in the small intestine (</w:t>
      </w:r>
      <w:r w:rsidRPr="00592B43">
        <w:rPr>
          <w:rFonts w:cs="Arial"/>
          <w:szCs w:val="22"/>
        </w:rPr>
        <w:t>Hedemann et al.</w:t>
      </w:r>
      <w:r>
        <w:rPr>
          <w:rFonts w:cs="Arial"/>
          <w:szCs w:val="22"/>
        </w:rPr>
        <w:t xml:space="preserve">, </w:t>
      </w:r>
      <w:r w:rsidRPr="00592B43">
        <w:rPr>
          <w:rFonts w:cs="Arial"/>
          <w:szCs w:val="22"/>
        </w:rPr>
        <w:t xml:space="preserve"> 2006</w:t>
      </w:r>
      <w:r>
        <w:rPr>
          <w:rFonts w:cs="Arial"/>
          <w:szCs w:val="22"/>
        </w:rPr>
        <w:t>, as reviewed by WHO 2015</w:t>
      </w:r>
      <w:r w:rsidRPr="00592B43">
        <w:rPr>
          <w:rFonts w:cs="Arial"/>
          <w:szCs w:val="22"/>
        </w:rPr>
        <w:t>).</w:t>
      </w:r>
      <w:r>
        <w:rPr>
          <w:rFonts w:cs="Arial"/>
          <w:szCs w:val="22"/>
        </w:rPr>
        <w:t xml:space="preserve"> A GLP-compliant study of pectin in milk replacer, administered in milk to neonatal pigs for three weeks, resulted in decreased bodyweight gain</w:t>
      </w:r>
      <w:r w:rsidR="00A96E36">
        <w:rPr>
          <w:rFonts w:cs="Arial"/>
          <w:szCs w:val="22"/>
        </w:rPr>
        <w:t>, decreased feed efficiency</w:t>
      </w:r>
      <w:r>
        <w:rPr>
          <w:rFonts w:cs="Arial"/>
          <w:szCs w:val="22"/>
        </w:rPr>
        <w:t xml:space="preserve"> and, in males, decreased milk replacer consumption </w:t>
      </w:r>
      <w:r w:rsidR="00A96E36">
        <w:rPr>
          <w:rFonts w:cs="Arial"/>
          <w:szCs w:val="22"/>
        </w:rPr>
        <w:t xml:space="preserve">at the highest dose of pectin, 10 g/L milk replacer, approximately equal to </w:t>
      </w:r>
      <w:r w:rsidR="00A96E36" w:rsidRPr="00A96E36">
        <w:rPr>
          <w:rFonts w:cs="Arial"/>
          <w:szCs w:val="22"/>
        </w:rPr>
        <w:t>3013 mg/kg bw</w:t>
      </w:r>
      <w:r w:rsidR="00A96E36">
        <w:rPr>
          <w:rFonts w:cs="Arial"/>
          <w:szCs w:val="22"/>
        </w:rPr>
        <w:t>/</w:t>
      </w:r>
      <w:r w:rsidR="00A96E36" w:rsidRPr="00A96E36">
        <w:rPr>
          <w:rFonts w:cs="Arial"/>
          <w:szCs w:val="22"/>
        </w:rPr>
        <w:t>day for males</w:t>
      </w:r>
      <w:r w:rsidR="00A96E36">
        <w:rPr>
          <w:rFonts w:cs="Arial"/>
          <w:szCs w:val="22"/>
        </w:rPr>
        <w:t xml:space="preserve">. </w:t>
      </w:r>
      <w:r w:rsidR="00600DF1">
        <w:rPr>
          <w:rFonts w:cs="Arial"/>
          <w:szCs w:val="22"/>
        </w:rPr>
        <w:t xml:space="preserve">These effects were correlated with changes in intestinal microbiota. </w:t>
      </w:r>
      <w:r w:rsidR="00A96E36">
        <w:rPr>
          <w:rFonts w:cs="Arial"/>
          <w:szCs w:val="22"/>
        </w:rPr>
        <w:t>The NOAEL was identified as the middle dose, 3 g/L</w:t>
      </w:r>
      <w:r w:rsidR="00706F89">
        <w:rPr>
          <w:rFonts w:cs="Arial"/>
          <w:szCs w:val="22"/>
        </w:rPr>
        <w:t>, approximately</w:t>
      </w:r>
      <w:r w:rsidR="00A96E36">
        <w:rPr>
          <w:rFonts w:cs="Arial"/>
          <w:szCs w:val="22"/>
        </w:rPr>
        <w:t xml:space="preserve"> equal to </w:t>
      </w:r>
      <w:r w:rsidR="00A96E36" w:rsidRPr="00A96E36">
        <w:rPr>
          <w:rFonts w:cs="Arial"/>
          <w:szCs w:val="22"/>
        </w:rPr>
        <w:t>847</w:t>
      </w:r>
      <w:r w:rsidR="00985B4E">
        <w:rPr>
          <w:rFonts w:cs="Arial"/>
          <w:szCs w:val="22"/>
        </w:rPr>
        <w:t xml:space="preserve"> </w:t>
      </w:r>
      <w:r w:rsidR="00A96E36" w:rsidRPr="00A96E36">
        <w:rPr>
          <w:rFonts w:cs="Arial"/>
          <w:szCs w:val="22"/>
        </w:rPr>
        <w:t>mg/kg bw</w:t>
      </w:r>
      <w:r w:rsidR="00A96E36">
        <w:rPr>
          <w:rFonts w:cs="Arial"/>
          <w:szCs w:val="22"/>
        </w:rPr>
        <w:t>/d</w:t>
      </w:r>
      <w:r w:rsidR="00985B4E">
        <w:rPr>
          <w:rFonts w:cs="Arial"/>
          <w:szCs w:val="22"/>
        </w:rPr>
        <w:t>ay</w:t>
      </w:r>
      <w:r w:rsidR="00A96E36">
        <w:rPr>
          <w:rFonts w:cs="Arial"/>
          <w:szCs w:val="22"/>
        </w:rPr>
        <w:t xml:space="preserve"> (MPI, 2013, as reviewed by WHO 2015).  </w:t>
      </w:r>
    </w:p>
    <w:p w14:paraId="10349F13" w14:textId="0F90AA54" w:rsidR="009B0CAF" w:rsidRPr="00F428ED" w:rsidRDefault="00986304" w:rsidP="00B21EBB">
      <w:pPr>
        <w:pStyle w:val="Heading3"/>
      </w:pPr>
      <w:r>
        <w:t>4.4.2</w:t>
      </w:r>
      <w:r>
        <w:tab/>
      </w:r>
      <w:r w:rsidR="009B0CAF" w:rsidRPr="00F428ED">
        <w:t>Carrageenan</w:t>
      </w:r>
    </w:p>
    <w:p w14:paraId="0C5D9D91" w14:textId="1074F81D" w:rsidR="009B0CAF" w:rsidRPr="009B0CAF" w:rsidRDefault="009B0CAF" w:rsidP="009B0CAF">
      <w:pPr>
        <w:rPr>
          <w:lang w:eastAsia="en-AU" w:bidi="ar-SA"/>
        </w:rPr>
      </w:pPr>
      <w:r w:rsidRPr="007124D6">
        <w:rPr>
          <w:rFonts w:cs="Arial"/>
          <w:szCs w:val="22"/>
        </w:rPr>
        <w:t xml:space="preserve">New studies in animals identified </w:t>
      </w:r>
      <w:r>
        <w:rPr>
          <w:rFonts w:cs="Arial"/>
          <w:szCs w:val="22"/>
        </w:rPr>
        <w:t xml:space="preserve">at the </w:t>
      </w:r>
      <w:r w:rsidR="00986304">
        <w:rPr>
          <w:rFonts w:cs="Arial"/>
          <w:szCs w:val="22"/>
        </w:rPr>
        <w:t>79</w:t>
      </w:r>
      <w:r w:rsidR="00986304" w:rsidRPr="00B21EBB">
        <w:rPr>
          <w:rFonts w:cs="Arial"/>
          <w:szCs w:val="22"/>
          <w:vertAlign w:val="superscript"/>
        </w:rPr>
        <w:t>th</w:t>
      </w:r>
      <w:r w:rsidR="00986304">
        <w:rPr>
          <w:rFonts w:cs="Arial"/>
          <w:szCs w:val="22"/>
        </w:rPr>
        <w:t xml:space="preserve"> </w:t>
      </w:r>
      <w:r>
        <w:rPr>
          <w:rFonts w:cs="Arial"/>
          <w:szCs w:val="22"/>
        </w:rPr>
        <w:t xml:space="preserve">meeting of JECFA were limited to studies in </w:t>
      </w:r>
      <w:r w:rsidR="00024C6E">
        <w:rPr>
          <w:rFonts w:cs="Arial"/>
          <w:szCs w:val="22"/>
        </w:rPr>
        <w:t xml:space="preserve">neonatal </w:t>
      </w:r>
      <w:r>
        <w:rPr>
          <w:rFonts w:cs="Arial"/>
          <w:szCs w:val="22"/>
        </w:rPr>
        <w:t xml:space="preserve">and </w:t>
      </w:r>
      <w:r w:rsidR="00024C6E">
        <w:rPr>
          <w:rFonts w:cs="Arial"/>
          <w:szCs w:val="22"/>
        </w:rPr>
        <w:t>juvenile pigs</w:t>
      </w:r>
      <w:r>
        <w:rPr>
          <w:rFonts w:cs="Arial"/>
          <w:szCs w:val="22"/>
        </w:rPr>
        <w:t xml:space="preserve">, and are therefore not directly relevant to the current application. However, no treatment-related effects were found in any parameter </w:t>
      </w:r>
      <w:r w:rsidR="00024C6E">
        <w:rPr>
          <w:rFonts w:cs="Arial"/>
          <w:szCs w:val="22"/>
        </w:rPr>
        <w:t xml:space="preserve">in unweaned piglets </w:t>
      </w:r>
      <w:r>
        <w:rPr>
          <w:rFonts w:cs="Arial"/>
          <w:szCs w:val="22"/>
        </w:rPr>
        <w:t xml:space="preserve">at </w:t>
      </w:r>
      <w:r w:rsidR="00024C6E">
        <w:rPr>
          <w:rFonts w:cs="Arial"/>
          <w:szCs w:val="22"/>
        </w:rPr>
        <w:t xml:space="preserve">dietary </w:t>
      </w:r>
      <w:r w:rsidRPr="00FF1E12">
        <w:rPr>
          <w:rFonts w:cs="Arial"/>
          <w:szCs w:val="22"/>
        </w:rPr>
        <w:t>carrageenan concentrations up to 2250 ppm, equivalent to approximately 430 mg/kg</w:t>
      </w:r>
      <w:r w:rsidR="00985B4E">
        <w:rPr>
          <w:rFonts w:cs="Arial"/>
          <w:szCs w:val="22"/>
        </w:rPr>
        <w:t xml:space="preserve"> bw</w:t>
      </w:r>
      <w:r w:rsidRPr="00FF1E12">
        <w:rPr>
          <w:rFonts w:cs="Arial"/>
          <w:szCs w:val="22"/>
        </w:rPr>
        <w:t xml:space="preserve">/day </w:t>
      </w:r>
      <w:r w:rsidR="00024C6E">
        <w:rPr>
          <w:rFonts w:cs="Arial"/>
          <w:szCs w:val="22"/>
        </w:rPr>
        <w:t>(</w:t>
      </w:r>
      <w:r w:rsidRPr="00FF1E12">
        <w:rPr>
          <w:rFonts w:cs="Arial"/>
          <w:szCs w:val="22"/>
        </w:rPr>
        <w:t>WHO 2015).</w:t>
      </w:r>
    </w:p>
    <w:p w14:paraId="577705FB" w14:textId="00B3A42A" w:rsidR="00EE5890" w:rsidRDefault="00986304" w:rsidP="00B21EBB">
      <w:pPr>
        <w:pStyle w:val="Heading2"/>
      </w:pPr>
      <w:bookmarkStart w:id="19" w:name="_Toc473045663"/>
      <w:r>
        <w:t>4.5</w:t>
      </w:r>
      <w:r>
        <w:tab/>
      </w:r>
      <w:r w:rsidR="00EE5890">
        <w:t>Studies in humans</w:t>
      </w:r>
      <w:bookmarkEnd w:id="19"/>
    </w:p>
    <w:p w14:paraId="2FA19347" w14:textId="1E266839" w:rsidR="009B0CAF" w:rsidRPr="009B0CAF" w:rsidRDefault="00986304" w:rsidP="00B21EBB">
      <w:pPr>
        <w:pStyle w:val="Heading3"/>
      </w:pPr>
      <w:r>
        <w:t>4.5.1</w:t>
      </w:r>
      <w:r>
        <w:tab/>
      </w:r>
      <w:r w:rsidR="009B0CAF" w:rsidRPr="009B0CAF">
        <w:t>Pectins</w:t>
      </w:r>
    </w:p>
    <w:p w14:paraId="4C3745AB" w14:textId="51670C92" w:rsidR="009B0CAF" w:rsidRDefault="009B0CAF" w:rsidP="009B0CAF">
      <w:pPr>
        <w:rPr>
          <w:lang w:eastAsia="en-AU" w:bidi="ar-SA"/>
        </w:rPr>
      </w:pPr>
      <w:r>
        <w:rPr>
          <w:lang w:eastAsia="en-AU" w:bidi="ar-SA"/>
        </w:rPr>
        <w:t xml:space="preserve">New studies of pectins in humans reviewed by JECFA at the </w:t>
      </w:r>
      <w:r w:rsidR="00986304">
        <w:rPr>
          <w:lang w:eastAsia="en-AU" w:bidi="ar-SA"/>
        </w:rPr>
        <w:t>79</w:t>
      </w:r>
      <w:r w:rsidR="00986304" w:rsidRPr="00B21EBB">
        <w:rPr>
          <w:vertAlign w:val="superscript"/>
          <w:lang w:eastAsia="en-AU" w:bidi="ar-SA"/>
        </w:rPr>
        <w:t>th</w:t>
      </w:r>
      <w:r w:rsidR="00986304">
        <w:rPr>
          <w:lang w:eastAsia="en-AU" w:bidi="ar-SA"/>
        </w:rPr>
        <w:t xml:space="preserve"> </w:t>
      </w:r>
      <w:r>
        <w:rPr>
          <w:lang w:eastAsia="en-AU" w:bidi="ar-SA"/>
        </w:rPr>
        <w:t>meeting were limited to studies in infants and therefore not directly relevant to the current application. No adverse effects were observed as a result of the inclusion of pectins in infant formula at approximately 240 mg/kg b</w:t>
      </w:r>
      <w:r w:rsidR="00985B4E">
        <w:rPr>
          <w:lang w:eastAsia="en-AU" w:bidi="ar-SA"/>
        </w:rPr>
        <w:t xml:space="preserve">w/day </w:t>
      </w:r>
      <w:r>
        <w:rPr>
          <w:lang w:eastAsia="en-AU" w:bidi="ar-SA"/>
        </w:rPr>
        <w:t xml:space="preserve">for up to six weeks (WHO 2015). </w:t>
      </w:r>
    </w:p>
    <w:p w14:paraId="02E050E6" w14:textId="2D9265FA" w:rsidR="009B0CAF" w:rsidRPr="009B0CAF" w:rsidRDefault="00986304" w:rsidP="00B21EBB">
      <w:pPr>
        <w:pStyle w:val="Heading3"/>
      </w:pPr>
      <w:r>
        <w:t>4.5.2</w:t>
      </w:r>
      <w:r>
        <w:tab/>
      </w:r>
      <w:r w:rsidR="009B0CAF" w:rsidRPr="009B0CAF">
        <w:t>Carrageenan</w:t>
      </w:r>
    </w:p>
    <w:p w14:paraId="7E7276EC" w14:textId="4D803841" w:rsidR="009B0CAF" w:rsidRPr="009B0CAF" w:rsidRDefault="009B0CAF" w:rsidP="009B0CAF">
      <w:pPr>
        <w:rPr>
          <w:lang w:eastAsia="en-AU" w:bidi="ar-SA"/>
        </w:rPr>
      </w:pPr>
      <w:r>
        <w:rPr>
          <w:lang w:eastAsia="en-AU" w:bidi="ar-SA"/>
        </w:rPr>
        <w:t xml:space="preserve">At the seventy-ninth meeting of JECFA, only two brief reports of studies of carrageenans in infants were noted. No adverse effects were noted as a result of consumption of carrageenan </w:t>
      </w:r>
      <w:r w:rsidR="006E782E">
        <w:rPr>
          <w:lang w:eastAsia="en-AU" w:bidi="ar-SA"/>
        </w:rPr>
        <w:t xml:space="preserve">in formula </w:t>
      </w:r>
      <w:r>
        <w:rPr>
          <w:lang w:eastAsia="en-AU" w:bidi="ar-SA"/>
        </w:rPr>
        <w:t>at 300 mg/L for 6 months, or 1000 mg/L for 112 days (WHO 2015).</w:t>
      </w:r>
    </w:p>
    <w:p w14:paraId="0CA8100C" w14:textId="77777777" w:rsidR="00CF2097" w:rsidRDefault="00CF2097" w:rsidP="00B21EBB">
      <w:pPr>
        <w:pStyle w:val="Heading2"/>
      </w:pPr>
      <w:bookmarkStart w:id="20" w:name="_Toc473045664"/>
      <w:r>
        <w:br w:type="page"/>
      </w:r>
    </w:p>
    <w:p w14:paraId="4702AC14" w14:textId="0185FF84" w:rsidR="00EE5890" w:rsidRDefault="00986304" w:rsidP="00B21EBB">
      <w:pPr>
        <w:pStyle w:val="Heading2"/>
      </w:pPr>
      <w:r>
        <w:lastRenderedPageBreak/>
        <w:t>4.6</w:t>
      </w:r>
      <w:r>
        <w:tab/>
      </w:r>
      <w:r w:rsidR="00EE5890">
        <w:t>Potential for allergenicity</w:t>
      </w:r>
      <w:bookmarkEnd w:id="20"/>
    </w:p>
    <w:p w14:paraId="0849453B" w14:textId="62D5C083" w:rsidR="009B0CAF" w:rsidRPr="009B0CAF" w:rsidRDefault="009B0CAF" w:rsidP="009B0CAF">
      <w:pPr>
        <w:rPr>
          <w:lang w:eastAsia="en-AU" w:bidi="ar-SA"/>
        </w:rPr>
      </w:pPr>
      <w:r w:rsidRPr="009B0CAF">
        <w:rPr>
          <w:lang w:eastAsia="en-AU" w:bidi="ar-SA"/>
        </w:rPr>
        <w:t>Allergic reactions to ingested pectins appear to be extremely rare and may represent cross-reaction with allergens of cashew nuts and/or pistachio nuts (</w:t>
      </w:r>
      <w:r w:rsidRPr="00024C6E">
        <w:rPr>
          <w:lang w:eastAsia="en-AU" w:bidi="ar-SA"/>
        </w:rPr>
        <w:t xml:space="preserve">Ferdman </w:t>
      </w:r>
      <w:r w:rsidRPr="000B78A8">
        <w:rPr>
          <w:lang w:eastAsia="en-AU" w:bidi="ar-SA"/>
        </w:rPr>
        <w:t>et al</w:t>
      </w:r>
      <w:r w:rsidRPr="00024C6E">
        <w:rPr>
          <w:lang w:eastAsia="en-AU" w:bidi="ar-SA"/>
        </w:rPr>
        <w:t>. 2006</w:t>
      </w:r>
      <w:r w:rsidRPr="009B0CAF">
        <w:rPr>
          <w:lang w:eastAsia="en-AU" w:bidi="ar-SA"/>
        </w:rPr>
        <w:t>). There is no robust evidence of allergic reactions to ingested carrageenan (WHO 2008).</w:t>
      </w:r>
    </w:p>
    <w:p w14:paraId="3DB118AD" w14:textId="20F8FB20" w:rsidR="00311D39" w:rsidRDefault="00986304" w:rsidP="00B21EBB">
      <w:pPr>
        <w:pStyle w:val="Heading3"/>
      </w:pPr>
      <w:bookmarkStart w:id="21" w:name="_Toc473045665"/>
      <w:r>
        <w:t>4.6.1</w:t>
      </w:r>
      <w:r>
        <w:tab/>
      </w:r>
      <w:r w:rsidR="00EE5890">
        <w:t>Discussion</w:t>
      </w:r>
      <w:bookmarkEnd w:id="21"/>
    </w:p>
    <w:p w14:paraId="30594EF7" w14:textId="1E193DEE" w:rsidR="009B0CAF" w:rsidRDefault="00A62785" w:rsidP="009B0CAF">
      <w:pPr>
        <w:rPr>
          <w:lang w:eastAsia="en-AU" w:bidi="ar-SA"/>
        </w:rPr>
      </w:pPr>
      <w:r>
        <w:rPr>
          <w:lang w:eastAsia="en-AU" w:bidi="ar-SA"/>
        </w:rPr>
        <w:t>P</w:t>
      </w:r>
      <w:r w:rsidR="009B0CAF">
        <w:rPr>
          <w:lang w:eastAsia="en-AU" w:bidi="ar-SA"/>
        </w:rPr>
        <w:t xml:space="preserve">ectins and carrageenan have a long history of safe use in the human food supply. </w:t>
      </w:r>
    </w:p>
    <w:p w14:paraId="6D373943" w14:textId="77777777" w:rsidR="009B0CAF" w:rsidRDefault="009B0CAF" w:rsidP="009B0CAF">
      <w:pPr>
        <w:rPr>
          <w:lang w:eastAsia="en-AU" w:bidi="ar-SA"/>
        </w:rPr>
      </w:pPr>
    </w:p>
    <w:p w14:paraId="7A9CAFE1" w14:textId="77777777" w:rsidR="009B0CAF" w:rsidRDefault="009B0CAF" w:rsidP="009B0CAF">
      <w:pPr>
        <w:rPr>
          <w:lang w:eastAsia="en-AU" w:bidi="ar-SA"/>
        </w:rPr>
      </w:pPr>
      <w:r>
        <w:rPr>
          <w:lang w:eastAsia="en-AU" w:bidi="ar-SA"/>
        </w:rPr>
        <w:t>Pectins are resistant to digestion in the small intestine but are broken down by large intestinal flora, with no adverse effects of metabolites identified. Carrageenan is not broken down in the gastrointestinal tract.</w:t>
      </w:r>
    </w:p>
    <w:p w14:paraId="68144432" w14:textId="77777777" w:rsidR="009B0CAF" w:rsidRDefault="009B0CAF" w:rsidP="009B0CAF">
      <w:pPr>
        <w:rPr>
          <w:lang w:eastAsia="en-AU" w:bidi="ar-SA"/>
        </w:rPr>
      </w:pPr>
    </w:p>
    <w:p w14:paraId="6C891CEF" w14:textId="77777777" w:rsidR="009B0CAF" w:rsidRDefault="009B0CAF" w:rsidP="009B0CAF">
      <w:pPr>
        <w:rPr>
          <w:lang w:eastAsia="en-AU" w:bidi="ar-SA"/>
        </w:rPr>
      </w:pPr>
      <w:r>
        <w:rPr>
          <w:lang w:eastAsia="en-AU" w:bidi="ar-SA"/>
        </w:rPr>
        <w:t>There is no evidence of genotoxicity of pectins or carrageenan.</w:t>
      </w:r>
    </w:p>
    <w:p w14:paraId="6327F6CE" w14:textId="77777777" w:rsidR="009B0CAF" w:rsidRDefault="009B0CAF" w:rsidP="009B0CAF">
      <w:pPr>
        <w:rPr>
          <w:lang w:eastAsia="en-AU" w:bidi="ar-SA"/>
        </w:rPr>
      </w:pPr>
    </w:p>
    <w:p w14:paraId="7DF1A7E5" w14:textId="67BF3AD8" w:rsidR="009B0CAF" w:rsidRPr="009B0CAF" w:rsidRDefault="00985B4E" w:rsidP="009B0CAF">
      <w:pPr>
        <w:rPr>
          <w:lang w:eastAsia="en-AU" w:bidi="ar-SA"/>
        </w:rPr>
      </w:pPr>
      <w:r>
        <w:rPr>
          <w:lang w:eastAsia="en-AU" w:bidi="ar-SA"/>
        </w:rPr>
        <w:t>A r</w:t>
      </w:r>
      <w:r w:rsidR="009B0CAF">
        <w:rPr>
          <w:lang w:eastAsia="en-AU" w:bidi="ar-SA"/>
        </w:rPr>
        <w:t>eview of recent animal and human studies by JECFA in 2015 did not identify any adverse effects</w:t>
      </w:r>
      <w:r w:rsidR="00A62785">
        <w:rPr>
          <w:lang w:eastAsia="en-AU" w:bidi="ar-SA"/>
        </w:rPr>
        <w:t xml:space="preserve"> relevant to human health risk assessment</w:t>
      </w:r>
      <w:r w:rsidR="009B0CAF">
        <w:rPr>
          <w:lang w:eastAsia="en-AU" w:bidi="ar-SA"/>
        </w:rPr>
        <w:t xml:space="preserve"> </w:t>
      </w:r>
      <w:r w:rsidR="00A62785">
        <w:rPr>
          <w:lang w:eastAsia="en-AU" w:bidi="ar-SA"/>
        </w:rPr>
        <w:t>for</w:t>
      </w:r>
      <w:r w:rsidR="009B0CAF">
        <w:rPr>
          <w:lang w:eastAsia="en-AU" w:bidi="ar-SA"/>
        </w:rPr>
        <w:t xml:space="preserve"> either pectins or carrageenan.</w:t>
      </w:r>
    </w:p>
    <w:p w14:paraId="5B44A9B5" w14:textId="3F2D73AA" w:rsidR="00483CB1" w:rsidRDefault="00986304" w:rsidP="00B21EBB">
      <w:pPr>
        <w:pStyle w:val="Heading1"/>
      </w:pPr>
      <w:bookmarkStart w:id="22" w:name="_Toc473045666"/>
      <w:r>
        <w:t>5</w:t>
      </w:r>
      <w:r>
        <w:tab/>
      </w:r>
      <w:r w:rsidR="00311D39">
        <w:t>Conclusions</w:t>
      </w:r>
      <w:bookmarkEnd w:id="22"/>
    </w:p>
    <w:p w14:paraId="3AC2F6A0" w14:textId="48C84E93" w:rsidR="009B0CAF" w:rsidRDefault="009B0CAF" w:rsidP="009B0CAF">
      <w:pPr>
        <w:rPr>
          <w:lang w:eastAsia="en-AU" w:bidi="ar-SA"/>
        </w:rPr>
      </w:pPr>
      <w:r w:rsidRPr="009B0CAF">
        <w:rPr>
          <w:lang w:eastAsia="en-AU" w:bidi="ar-SA"/>
        </w:rPr>
        <w:t>Based on the reviewed toxicological data, it is concluded that in the absence of any identifiable hazard, an Acceptable Daily Intake (ADI) ‘not specified’ remains appropriate for both pectins and carrageenan.</w:t>
      </w:r>
    </w:p>
    <w:p w14:paraId="246C8898" w14:textId="70E8D654" w:rsidR="009B0CAF" w:rsidRPr="009B0CAF" w:rsidRDefault="009B0CAF" w:rsidP="009B0CAF">
      <w:pPr>
        <w:rPr>
          <w:lang w:eastAsia="en-AU" w:bidi="ar-SA"/>
        </w:rPr>
      </w:pPr>
    </w:p>
    <w:p w14:paraId="1855B06E" w14:textId="62E39A79" w:rsidR="00F766E3" w:rsidRDefault="00F766E3" w:rsidP="00F766E3">
      <w:pPr>
        <w:rPr>
          <w:lang w:bidi="ar-SA"/>
        </w:rPr>
      </w:pPr>
      <w:r>
        <w:t>Pectins and carrageenan achieve the technological function in the quantity and form proposed to be used as a food processing aid, and there are no public health and safety concerns from the use of pectins and carrageenan as processing aids in the manufacture of wine in Australia</w:t>
      </w:r>
    </w:p>
    <w:p w14:paraId="6CB4E9D1" w14:textId="4AA7955D" w:rsidR="00034724" w:rsidRPr="00034724" w:rsidRDefault="00034724" w:rsidP="00B21EBB">
      <w:pPr>
        <w:pStyle w:val="Heading1"/>
      </w:pPr>
      <w:bookmarkStart w:id="23" w:name="_Toc473045668"/>
      <w:r>
        <w:t>References</w:t>
      </w:r>
      <w:bookmarkEnd w:id="23"/>
    </w:p>
    <w:p w14:paraId="3240C727" w14:textId="77777777" w:rsidR="009B0CAF" w:rsidRPr="00B21EBB" w:rsidRDefault="009B0CAF" w:rsidP="009B0CAF">
      <w:pPr>
        <w:rPr>
          <w:rFonts w:cs="Arial"/>
          <w:sz w:val="20"/>
          <w:szCs w:val="22"/>
        </w:rPr>
      </w:pPr>
      <w:proofErr w:type="gramStart"/>
      <w:r w:rsidRPr="00B21EBB">
        <w:rPr>
          <w:rFonts w:cs="Arial"/>
          <w:sz w:val="20"/>
          <w:szCs w:val="22"/>
        </w:rPr>
        <w:t>Cohen SM and Ito N (2002).</w:t>
      </w:r>
      <w:proofErr w:type="gramEnd"/>
      <w:r w:rsidRPr="00B21EBB">
        <w:rPr>
          <w:rFonts w:cs="Arial"/>
          <w:sz w:val="20"/>
          <w:szCs w:val="22"/>
        </w:rPr>
        <w:t xml:space="preserve"> </w:t>
      </w:r>
      <w:proofErr w:type="gramStart"/>
      <w:r w:rsidRPr="00B21EBB">
        <w:rPr>
          <w:rFonts w:cs="Arial"/>
          <w:sz w:val="20"/>
          <w:szCs w:val="22"/>
        </w:rPr>
        <w:t>A Critical Review of the Toxicological Effects of Carrageenan and Processed Eucheuma Seaweed on the Gastrointestinal Tract.</w:t>
      </w:r>
      <w:proofErr w:type="gramEnd"/>
      <w:r w:rsidRPr="00B21EBB">
        <w:rPr>
          <w:sz w:val="20"/>
        </w:rPr>
        <w:t xml:space="preserve"> </w:t>
      </w:r>
      <w:r w:rsidRPr="00B21EBB">
        <w:rPr>
          <w:rFonts w:cs="Arial"/>
          <w:i/>
          <w:sz w:val="20"/>
          <w:szCs w:val="22"/>
        </w:rPr>
        <w:t>Critical Reviews in Toxicology</w:t>
      </w:r>
      <w:r w:rsidRPr="00B21EBB">
        <w:rPr>
          <w:rFonts w:cs="Arial"/>
          <w:sz w:val="20"/>
          <w:szCs w:val="22"/>
        </w:rPr>
        <w:t xml:space="preserve"> </w:t>
      </w:r>
      <w:r w:rsidRPr="00B21EBB">
        <w:rPr>
          <w:rFonts w:cs="Arial"/>
          <w:b/>
          <w:sz w:val="20"/>
          <w:szCs w:val="22"/>
        </w:rPr>
        <w:t>32</w:t>
      </w:r>
      <w:r w:rsidRPr="00B21EBB">
        <w:rPr>
          <w:rFonts w:cs="Arial"/>
          <w:sz w:val="20"/>
          <w:szCs w:val="22"/>
        </w:rPr>
        <w:t xml:space="preserve">:413–444 </w:t>
      </w:r>
    </w:p>
    <w:p w14:paraId="7A2504A5" w14:textId="77777777" w:rsidR="009B0CAF" w:rsidRPr="00B21EBB" w:rsidRDefault="009B0CAF" w:rsidP="009B0CAF">
      <w:pPr>
        <w:rPr>
          <w:rFonts w:cs="Arial"/>
          <w:sz w:val="20"/>
          <w:szCs w:val="22"/>
        </w:rPr>
      </w:pPr>
    </w:p>
    <w:p w14:paraId="79303A34" w14:textId="77777777" w:rsidR="009B0CAF" w:rsidRPr="00B21EBB" w:rsidRDefault="009B0CAF" w:rsidP="009B0CAF">
      <w:pPr>
        <w:rPr>
          <w:rFonts w:cs="Arial"/>
          <w:sz w:val="20"/>
          <w:szCs w:val="22"/>
        </w:rPr>
      </w:pPr>
      <w:r w:rsidRPr="00B21EBB">
        <w:rPr>
          <w:rFonts w:cs="Arial"/>
          <w:sz w:val="20"/>
          <w:szCs w:val="22"/>
        </w:rPr>
        <w:t xml:space="preserve">Ferdman RM, Ong PY and Church JA (2006). </w:t>
      </w:r>
      <w:proofErr w:type="gramStart"/>
      <w:r w:rsidRPr="00B21EBB">
        <w:rPr>
          <w:rFonts w:cs="Arial"/>
          <w:sz w:val="20"/>
          <w:szCs w:val="22"/>
        </w:rPr>
        <w:t>Pectin anaphylaxis and possible association with cashew allergy.</w:t>
      </w:r>
      <w:proofErr w:type="gramEnd"/>
      <w:r w:rsidRPr="00B21EBB">
        <w:rPr>
          <w:rFonts w:cs="Arial"/>
          <w:sz w:val="20"/>
          <w:szCs w:val="22"/>
        </w:rPr>
        <w:t xml:space="preserve"> </w:t>
      </w:r>
      <w:r w:rsidRPr="00B21EBB">
        <w:rPr>
          <w:rFonts w:cs="Arial"/>
          <w:i/>
          <w:sz w:val="20"/>
          <w:szCs w:val="22"/>
        </w:rPr>
        <w:t>Annals of Allergy, Asthma and Immunology</w:t>
      </w:r>
      <w:r w:rsidRPr="00B21EBB">
        <w:rPr>
          <w:rFonts w:cs="Arial"/>
          <w:sz w:val="20"/>
          <w:szCs w:val="22"/>
        </w:rPr>
        <w:t xml:space="preserve"> </w:t>
      </w:r>
      <w:r w:rsidRPr="00B21EBB">
        <w:rPr>
          <w:rFonts w:cs="Arial"/>
          <w:b/>
          <w:sz w:val="20"/>
          <w:szCs w:val="22"/>
        </w:rPr>
        <w:t>97</w:t>
      </w:r>
      <w:r w:rsidRPr="00B21EBB">
        <w:rPr>
          <w:rFonts w:cs="Arial"/>
          <w:sz w:val="20"/>
          <w:szCs w:val="22"/>
        </w:rPr>
        <w:t>:759–760</w:t>
      </w:r>
    </w:p>
    <w:p w14:paraId="4A35DE4B" w14:textId="77777777" w:rsidR="009B0CAF" w:rsidRPr="00B21EBB" w:rsidRDefault="009B0CAF" w:rsidP="009B0CAF">
      <w:pPr>
        <w:rPr>
          <w:rFonts w:cs="Arial"/>
          <w:sz w:val="20"/>
          <w:szCs w:val="22"/>
        </w:rPr>
      </w:pPr>
    </w:p>
    <w:p w14:paraId="0F9DB166" w14:textId="77777777" w:rsidR="009B0CAF" w:rsidRPr="00B21EBB" w:rsidRDefault="009B0CAF" w:rsidP="009B0CAF">
      <w:pPr>
        <w:rPr>
          <w:rFonts w:cs="Arial"/>
          <w:sz w:val="20"/>
          <w:szCs w:val="22"/>
        </w:rPr>
      </w:pPr>
      <w:r w:rsidRPr="00B21EBB">
        <w:rPr>
          <w:rFonts w:cs="Arial"/>
          <w:sz w:val="20"/>
          <w:szCs w:val="22"/>
        </w:rPr>
        <w:t xml:space="preserve">Necas J and Bartosikova L (2013) Carrageenan: a review. </w:t>
      </w:r>
      <w:r w:rsidRPr="00B21EBB">
        <w:rPr>
          <w:rFonts w:cs="Arial"/>
          <w:i/>
          <w:sz w:val="20"/>
          <w:szCs w:val="22"/>
        </w:rPr>
        <w:t>Veterinarni Medicina</w:t>
      </w:r>
      <w:r w:rsidRPr="00B21EBB">
        <w:rPr>
          <w:rFonts w:cs="Arial"/>
          <w:sz w:val="20"/>
          <w:szCs w:val="22"/>
        </w:rPr>
        <w:t xml:space="preserve"> </w:t>
      </w:r>
      <w:r w:rsidRPr="00B21EBB">
        <w:rPr>
          <w:rFonts w:cs="Arial"/>
          <w:b/>
          <w:sz w:val="20"/>
          <w:szCs w:val="22"/>
        </w:rPr>
        <w:t>58</w:t>
      </w:r>
      <w:r w:rsidRPr="00B21EBB">
        <w:rPr>
          <w:rFonts w:cs="Arial"/>
          <w:sz w:val="20"/>
          <w:szCs w:val="22"/>
        </w:rPr>
        <w:t>: 187–205</w:t>
      </w:r>
    </w:p>
    <w:p w14:paraId="2FAB5AD7" w14:textId="77777777" w:rsidR="009B0CAF" w:rsidRPr="00B21EBB" w:rsidRDefault="009B0CAF" w:rsidP="009B0CAF">
      <w:pPr>
        <w:rPr>
          <w:rFonts w:cs="Arial"/>
          <w:sz w:val="20"/>
          <w:szCs w:val="22"/>
        </w:rPr>
      </w:pPr>
    </w:p>
    <w:p w14:paraId="5BC8BA34" w14:textId="77777777" w:rsidR="009B0CAF" w:rsidRPr="00B21EBB" w:rsidRDefault="009B0CAF" w:rsidP="009B0CAF">
      <w:pPr>
        <w:rPr>
          <w:rFonts w:cs="Arial"/>
          <w:sz w:val="20"/>
          <w:szCs w:val="22"/>
        </w:rPr>
      </w:pPr>
      <w:proofErr w:type="gramStart"/>
      <w:r w:rsidRPr="00B21EBB">
        <w:rPr>
          <w:rFonts w:cs="Arial"/>
          <w:sz w:val="20"/>
          <w:szCs w:val="22"/>
        </w:rPr>
        <w:t>Marangon M, Lucchetta M, Duan D, Stockdale VJ, Hart A, Rogers PJ and Waters EJ (2012) Protein removal from a Chardonnay juice by addition of carrageenan and pectin.</w:t>
      </w:r>
      <w:proofErr w:type="gramEnd"/>
      <w:r w:rsidRPr="00B21EBB">
        <w:rPr>
          <w:rFonts w:cs="Arial"/>
          <w:sz w:val="20"/>
          <w:szCs w:val="22"/>
        </w:rPr>
        <w:t xml:space="preserve"> </w:t>
      </w:r>
      <w:r w:rsidRPr="00B21EBB">
        <w:rPr>
          <w:rFonts w:cs="Arial"/>
          <w:i/>
          <w:iCs/>
          <w:sz w:val="20"/>
          <w:szCs w:val="22"/>
        </w:rPr>
        <w:t>Australian Journal of Grape and Wine Research</w:t>
      </w:r>
      <w:r w:rsidRPr="00B21EBB">
        <w:rPr>
          <w:rFonts w:cs="Arial"/>
          <w:sz w:val="20"/>
          <w:szCs w:val="22"/>
        </w:rPr>
        <w:t xml:space="preserve"> </w:t>
      </w:r>
      <w:r w:rsidRPr="00B21EBB">
        <w:rPr>
          <w:rFonts w:cs="Arial"/>
          <w:b/>
          <w:sz w:val="20"/>
          <w:szCs w:val="22"/>
        </w:rPr>
        <w:t>18</w:t>
      </w:r>
      <w:r w:rsidRPr="00B21EBB">
        <w:rPr>
          <w:rFonts w:cs="Arial"/>
          <w:sz w:val="20"/>
          <w:szCs w:val="22"/>
        </w:rPr>
        <w:t>: 194–202</w:t>
      </w:r>
    </w:p>
    <w:p w14:paraId="3E9C3D66" w14:textId="77777777" w:rsidR="009B0CAF" w:rsidRPr="00B21EBB" w:rsidRDefault="009B0CAF" w:rsidP="009B0CAF">
      <w:pPr>
        <w:rPr>
          <w:rFonts w:cs="Arial"/>
          <w:sz w:val="20"/>
          <w:szCs w:val="22"/>
        </w:rPr>
      </w:pPr>
    </w:p>
    <w:p w14:paraId="0AEC4A19" w14:textId="77777777" w:rsidR="009B0CAF" w:rsidRPr="00B21EBB" w:rsidRDefault="009B0CAF" w:rsidP="009B0CAF">
      <w:pPr>
        <w:rPr>
          <w:rFonts w:cs="Arial"/>
          <w:sz w:val="20"/>
          <w:szCs w:val="22"/>
        </w:rPr>
      </w:pPr>
      <w:proofErr w:type="gramStart"/>
      <w:r w:rsidRPr="00B21EBB">
        <w:rPr>
          <w:rFonts w:cs="Arial"/>
          <w:sz w:val="20"/>
          <w:szCs w:val="22"/>
        </w:rPr>
        <w:t>May CD (1990) Industrial Pectins: Sources, Production and Applications.</w:t>
      </w:r>
      <w:proofErr w:type="gramEnd"/>
      <w:r w:rsidRPr="00B21EBB">
        <w:rPr>
          <w:rFonts w:cs="Arial"/>
          <w:sz w:val="20"/>
          <w:szCs w:val="22"/>
        </w:rPr>
        <w:t xml:space="preserve"> </w:t>
      </w:r>
      <w:r w:rsidRPr="00B21EBB">
        <w:rPr>
          <w:rFonts w:cs="Arial"/>
          <w:i/>
          <w:sz w:val="20"/>
          <w:szCs w:val="22"/>
        </w:rPr>
        <w:t>Carbohydrate Polymers</w:t>
      </w:r>
      <w:r w:rsidRPr="00B21EBB">
        <w:rPr>
          <w:rFonts w:cs="Arial"/>
          <w:sz w:val="20"/>
          <w:szCs w:val="22"/>
        </w:rPr>
        <w:t xml:space="preserve"> </w:t>
      </w:r>
      <w:r w:rsidRPr="00B21EBB">
        <w:rPr>
          <w:rFonts w:cs="Arial"/>
          <w:b/>
          <w:sz w:val="20"/>
          <w:szCs w:val="22"/>
        </w:rPr>
        <w:t xml:space="preserve">12: </w:t>
      </w:r>
      <w:r w:rsidRPr="00B21EBB">
        <w:rPr>
          <w:rFonts w:cs="Arial"/>
          <w:sz w:val="20"/>
          <w:szCs w:val="22"/>
        </w:rPr>
        <w:t>79-99</w:t>
      </w:r>
    </w:p>
    <w:p w14:paraId="25E364F8" w14:textId="77777777" w:rsidR="009B0CAF" w:rsidRPr="00B21EBB" w:rsidRDefault="009B0CAF" w:rsidP="009B0CAF">
      <w:pPr>
        <w:rPr>
          <w:rFonts w:cs="Arial"/>
          <w:sz w:val="20"/>
          <w:szCs w:val="22"/>
        </w:rPr>
      </w:pPr>
    </w:p>
    <w:p w14:paraId="1FA5474D" w14:textId="77777777" w:rsidR="009B0CAF" w:rsidRPr="00B21EBB" w:rsidRDefault="009B0CAF" w:rsidP="009B0CAF">
      <w:pPr>
        <w:rPr>
          <w:rFonts w:cs="Arial"/>
          <w:sz w:val="20"/>
          <w:szCs w:val="22"/>
        </w:rPr>
      </w:pPr>
      <w:proofErr w:type="gramStart"/>
      <w:r w:rsidRPr="00B21EBB">
        <w:rPr>
          <w:rFonts w:cs="Arial"/>
          <w:sz w:val="20"/>
          <w:szCs w:val="22"/>
        </w:rPr>
        <w:t>Siragusa RJ, Cerda JJ, Baig MM, Burgin CW and Robbins FL (1988).</w:t>
      </w:r>
      <w:proofErr w:type="gramEnd"/>
      <w:r w:rsidRPr="00B21EBB">
        <w:rPr>
          <w:rFonts w:cs="Arial"/>
          <w:sz w:val="20"/>
          <w:szCs w:val="22"/>
        </w:rPr>
        <w:t xml:space="preserve"> </w:t>
      </w:r>
      <w:proofErr w:type="gramStart"/>
      <w:r w:rsidRPr="00B21EBB">
        <w:rPr>
          <w:rFonts w:cs="Arial"/>
          <w:sz w:val="20"/>
          <w:szCs w:val="22"/>
        </w:rPr>
        <w:t>Methanol production from the degradation of pectin by human colonic bacteria.</w:t>
      </w:r>
      <w:proofErr w:type="gramEnd"/>
      <w:r w:rsidRPr="00B21EBB">
        <w:rPr>
          <w:rFonts w:cs="Arial"/>
          <w:sz w:val="20"/>
          <w:szCs w:val="22"/>
        </w:rPr>
        <w:t xml:space="preserve"> </w:t>
      </w:r>
      <w:r w:rsidRPr="00B21EBB">
        <w:rPr>
          <w:rFonts w:cs="Arial"/>
          <w:i/>
          <w:sz w:val="20"/>
          <w:szCs w:val="22"/>
        </w:rPr>
        <w:t>American Journal of Clinical Nutrition</w:t>
      </w:r>
      <w:r w:rsidRPr="00B21EBB">
        <w:rPr>
          <w:sz w:val="20"/>
        </w:rPr>
        <w:t xml:space="preserve"> </w:t>
      </w:r>
      <w:r w:rsidRPr="00B21EBB">
        <w:rPr>
          <w:rFonts w:cs="Arial"/>
          <w:b/>
          <w:sz w:val="20"/>
          <w:szCs w:val="22"/>
        </w:rPr>
        <w:t>47</w:t>
      </w:r>
      <w:r w:rsidRPr="00B21EBB">
        <w:rPr>
          <w:rFonts w:cs="Arial"/>
          <w:sz w:val="20"/>
          <w:szCs w:val="22"/>
        </w:rPr>
        <w:t>: 848-51</w:t>
      </w:r>
    </w:p>
    <w:p w14:paraId="22AD1A35" w14:textId="77777777" w:rsidR="009B0CAF" w:rsidRPr="00B21EBB" w:rsidRDefault="009B0CAF" w:rsidP="009B0CAF">
      <w:pPr>
        <w:rPr>
          <w:rFonts w:cs="Arial"/>
          <w:sz w:val="20"/>
          <w:szCs w:val="22"/>
        </w:rPr>
      </w:pPr>
    </w:p>
    <w:p w14:paraId="65D336CC" w14:textId="77777777" w:rsidR="009B0CAF" w:rsidRPr="00B21EBB" w:rsidRDefault="009B0CAF" w:rsidP="009B0CAF">
      <w:pPr>
        <w:rPr>
          <w:rFonts w:cs="Arial"/>
          <w:sz w:val="20"/>
          <w:szCs w:val="22"/>
        </w:rPr>
      </w:pPr>
      <w:r w:rsidRPr="00B21EBB">
        <w:rPr>
          <w:rFonts w:cs="Arial"/>
          <w:sz w:val="20"/>
          <w:szCs w:val="22"/>
        </w:rPr>
        <w:t>Weiner ML (2014). Food additive carrageenan: Part II: A critical review of carrageenan</w:t>
      </w:r>
    </w:p>
    <w:p w14:paraId="72EA1E40" w14:textId="77777777" w:rsidR="009B0CAF" w:rsidRPr="00B21EBB" w:rsidRDefault="009B0CAF" w:rsidP="009B0CAF">
      <w:pPr>
        <w:rPr>
          <w:rFonts w:cs="Arial"/>
          <w:sz w:val="20"/>
          <w:szCs w:val="22"/>
        </w:rPr>
      </w:pPr>
      <w:proofErr w:type="gramStart"/>
      <w:r w:rsidRPr="00B21EBB">
        <w:rPr>
          <w:rFonts w:cs="Arial"/>
          <w:i/>
          <w:sz w:val="20"/>
          <w:szCs w:val="22"/>
        </w:rPr>
        <w:t>in</w:t>
      </w:r>
      <w:proofErr w:type="gramEnd"/>
      <w:r w:rsidRPr="00B21EBB">
        <w:rPr>
          <w:rFonts w:cs="Arial"/>
          <w:i/>
          <w:sz w:val="20"/>
          <w:szCs w:val="22"/>
        </w:rPr>
        <w:t xml:space="preserve"> vivo</w:t>
      </w:r>
      <w:r w:rsidRPr="00B21EBB">
        <w:rPr>
          <w:rFonts w:cs="Arial"/>
          <w:sz w:val="20"/>
          <w:szCs w:val="22"/>
        </w:rPr>
        <w:t xml:space="preserve"> safety studies. </w:t>
      </w:r>
      <w:r w:rsidRPr="00B21EBB">
        <w:rPr>
          <w:rFonts w:cs="Arial"/>
          <w:i/>
          <w:sz w:val="20"/>
          <w:szCs w:val="22"/>
        </w:rPr>
        <w:t>Critical Reviews in Toxicology</w:t>
      </w:r>
      <w:r w:rsidRPr="00B21EBB">
        <w:rPr>
          <w:rFonts w:cs="Arial"/>
          <w:sz w:val="20"/>
          <w:szCs w:val="22"/>
        </w:rPr>
        <w:t xml:space="preserve"> </w:t>
      </w:r>
      <w:r w:rsidRPr="00B21EBB">
        <w:rPr>
          <w:rFonts w:cs="Arial"/>
          <w:b/>
          <w:sz w:val="20"/>
          <w:szCs w:val="22"/>
        </w:rPr>
        <w:t>44</w:t>
      </w:r>
      <w:r w:rsidRPr="00B21EBB">
        <w:rPr>
          <w:rFonts w:cs="Arial"/>
          <w:sz w:val="20"/>
          <w:szCs w:val="22"/>
        </w:rPr>
        <w:t>: 244–269</w:t>
      </w:r>
    </w:p>
    <w:p w14:paraId="1A977DE8" w14:textId="77777777" w:rsidR="009B0CAF" w:rsidRPr="00B21EBB" w:rsidRDefault="009B0CAF" w:rsidP="009B0CAF">
      <w:pPr>
        <w:rPr>
          <w:rFonts w:cs="Arial"/>
          <w:sz w:val="20"/>
          <w:szCs w:val="22"/>
        </w:rPr>
      </w:pPr>
    </w:p>
    <w:p w14:paraId="15ACD1EE" w14:textId="77777777" w:rsidR="00CF2097" w:rsidRDefault="00CF2097" w:rsidP="009B0CAF">
      <w:pPr>
        <w:rPr>
          <w:rFonts w:cs="Arial"/>
          <w:sz w:val="20"/>
          <w:szCs w:val="22"/>
        </w:rPr>
      </w:pPr>
      <w:r>
        <w:rPr>
          <w:rFonts w:cs="Arial"/>
          <w:sz w:val="20"/>
          <w:szCs w:val="22"/>
        </w:rPr>
        <w:br w:type="page"/>
      </w:r>
    </w:p>
    <w:p w14:paraId="40C5DC1D" w14:textId="152A5FE0" w:rsidR="009B0CAF" w:rsidRPr="00B21EBB" w:rsidRDefault="009B0CAF" w:rsidP="009B0CAF">
      <w:pPr>
        <w:rPr>
          <w:rFonts w:cs="Arial"/>
          <w:sz w:val="20"/>
          <w:szCs w:val="22"/>
        </w:rPr>
      </w:pPr>
      <w:r w:rsidRPr="00B21EBB">
        <w:rPr>
          <w:rFonts w:cs="Arial"/>
          <w:sz w:val="20"/>
          <w:szCs w:val="22"/>
        </w:rPr>
        <w:lastRenderedPageBreak/>
        <w:t>World Health Organisation (2008)</w:t>
      </w:r>
      <w:r w:rsidRPr="00B21EBB">
        <w:rPr>
          <w:sz w:val="20"/>
        </w:rPr>
        <w:t xml:space="preserve"> </w:t>
      </w:r>
      <w:r w:rsidRPr="00B21EBB">
        <w:rPr>
          <w:rFonts w:cs="Arial"/>
          <w:sz w:val="20"/>
          <w:szCs w:val="22"/>
        </w:rPr>
        <w:t>Safety evaluation of certain food additives / prepared by the sixty-eighth meeting of the Joint FAO/WHO Expert Committee on Food Additives (</w:t>
      </w:r>
      <w:r w:rsidR="00BA111D" w:rsidRPr="00BA111D">
        <w:rPr>
          <w:rFonts w:cs="Arial"/>
          <w:sz w:val="20"/>
          <w:szCs w:val="22"/>
        </w:rPr>
        <w:t>JECFA</w:t>
      </w:r>
      <w:r w:rsidRPr="00B21EBB">
        <w:rPr>
          <w:rFonts w:cs="Arial"/>
          <w:sz w:val="20"/>
          <w:szCs w:val="22"/>
        </w:rPr>
        <w:t xml:space="preserve">). </w:t>
      </w:r>
      <w:proofErr w:type="gramStart"/>
      <w:r w:rsidRPr="00B21EBB">
        <w:rPr>
          <w:rFonts w:cs="Arial"/>
          <w:sz w:val="20"/>
          <w:szCs w:val="22"/>
        </w:rPr>
        <w:t>WHO food additives series, 59.</w:t>
      </w:r>
      <w:proofErr w:type="gramEnd"/>
    </w:p>
    <w:p w14:paraId="019A0C2C" w14:textId="77777777" w:rsidR="009B0CAF" w:rsidRPr="00B21EBB" w:rsidRDefault="009B0CAF" w:rsidP="009B0CAF">
      <w:pPr>
        <w:rPr>
          <w:sz w:val="20"/>
        </w:rPr>
      </w:pPr>
    </w:p>
    <w:p w14:paraId="6F985E62" w14:textId="754B311E" w:rsidR="00034724" w:rsidRPr="00B21EBB" w:rsidRDefault="009B0CAF" w:rsidP="009B0CAF">
      <w:pPr>
        <w:rPr>
          <w:sz w:val="20"/>
          <w:lang w:bidi="ar-SA"/>
        </w:rPr>
      </w:pPr>
      <w:r w:rsidRPr="00B21EBB">
        <w:rPr>
          <w:rFonts w:cs="Arial"/>
          <w:sz w:val="20"/>
          <w:szCs w:val="22"/>
        </w:rPr>
        <w:t xml:space="preserve"> World Health Organisation (2015) Safety evaluation of certain food additives / prepared by the Seventy-ninth meeting of the Joint FAO/WHO Expert Committee on Food Additives (JECFA). WHO food additives series; 70</w:t>
      </w:r>
    </w:p>
    <w:sectPr w:rsidR="00034724" w:rsidRPr="00B21EBB" w:rsidSect="0054272D">
      <w:pgSz w:w="11906" w:h="16838"/>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7D26A3" w14:textId="77777777" w:rsidR="0009731E" w:rsidRDefault="0009731E">
      <w:r>
        <w:separator/>
      </w:r>
    </w:p>
  </w:endnote>
  <w:endnote w:type="continuationSeparator" w:id="0">
    <w:p w14:paraId="08BCBF8C" w14:textId="77777777" w:rsidR="0009731E" w:rsidRDefault="0009731E">
      <w:r>
        <w:continuationSeparator/>
      </w:r>
    </w:p>
  </w:endnote>
  <w:endnote w:type="continuationNotice" w:id="1">
    <w:p w14:paraId="2ECEA5DA" w14:textId="77777777" w:rsidR="0009731E" w:rsidRDefault="000973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CABB5A" w14:textId="77777777" w:rsidR="00617BE1" w:rsidRDefault="00617BE1"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5823174" w14:textId="77777777" w:rsidR="00617BE1" w:rsidRDefault="00617BE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F36FBE" w14:textId="77777777" w:rsidR="00617BE1" w:rsidRDefault="00617BE1"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475F3">
      <w:rPr>
        <w:rStyle w:val="PageNumber"/>
        <w:noProof/>
      </w:rPr>
      <w:t>i</w:t>
    </w:r>
    <w:r>
      <w:rPr>
        <w:rStyle w:val="PageNumber"/>
      </w:rPr>
      <w:fldChar w:fldCharType="end"/>
    </w:r>
  </w:p>
  <w:p w14:paraId="1012A903" w14:textId="77777777" w:rsidR="00617BE1" w:rsidRDefault="00617BE1">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21DE23" w14:textId="77777777" w:rsidR="00C475F3" w:rsidRDefault="00C475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9C4912" w14:textId="77777777" w:rsidR="0009731E" w:rsidRDefault="0009731E">
      <w:r>
        <w:separator/>
      </w:r>
    </w:p>
  </w:footnote>
  <w:footnote w:type="continuationSeparator" w:id="0">
    <w:p w14:paraId="2F165921" w14:textId="77777777" w:rsidR="0009731E" w:rsidRDefault="0009731E">
      <w:r>
        <w:continuationSeparator/>
      </w:r>
    </w:p>
  </w:footnote>
  <w:footnote w:type="continuationNotice" w:id="1">
    <w:p w14:paraId="70DB9B28" w14:textId="77777777" w:rsidR="0009731E" w:rsidRDefault="0009731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1A1632" w14:textId="77777777" w:rsidR="00C475F3" w:rsidRDefault="00C475F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432CAB" w14:textId="77777777" w:rsidR="00C475F3" w:rsidRDefault="00C475F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5D4FCD" w14:textId="77777777" w:rsidR="00617BE1" w:rsidRDefault="00617BE1">
    <w:pPr>
      <w:pStyle w:val="Header"/>
      <w:jc w:val="center"/>
      <w:rPr>
        <w:b/>
        <w:bCs/>
      </w:rPr>
    </w:pPr>
    <w:r>
      <w:rPr>
        <w:b/>
        <w:bCs/>
      </w:rPr>
      <w:t>BOARD-IN-CONFIDENCE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963D77"/>
    <w:multiLevelType w:val="hybridMultilevel"/>
    <w:tmpl w:val="7632DC76"/>
    <w:lvl w:ilvl="0" w:tplc="AB405820">
      <w:start w:val="1"/>
      <w:numFmt w:val="bullet"/>
      <w:pStyle w:val="FSBullet3"/>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nsid w:val="206046BE"/>
    <w:multiLevelType w:val="multilevel"/>
    <w:tmpl w:val="8CE83E3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235D6E9D"/>
    <w:multiLevelType w:val="multilevel"/>
    <w:tmpl w:val="9576790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26054271"/>
    <w:multiLevelType w:val="hybridMultilevel"/>
    <w:tmpl w:val="7AC0B316"/>
    <w:lvl w:ilvl="0" w:tplc="FDFEA674">
      <w:start w:val="1"/>
      <w:numFmt w:val="bullet"/>
      <w:pStyle w:val="FSBullet1"/>
      <w:lvlText w:val=""/>
      <w:lvlJc w:val="left"/>
      <w:pPr>
        <w:ind w:left="502"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45E23B5C"/>
    <w:multiLevelType w:val="hybridMultilevel"/>
    <w:tmpl w:val="15E2C8B4"/>
    <w:lvl w:ilvl="0" w:tplc="B234E9C4">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5">
    <w:nsid w:val="5FAA3A31"/>
    <w:multiLevelType w:val="hybridMultilevel"/>
    <w:tmpl w:val="3C2AA4F4"/>
    <w:lvl w:ilvl="0" w:tplc="1409000F">
      <w:start w:val="1"/>
      <w:numFmt w:val="decimal"/>
      <w:lvlText w:val="%1."/>
      <w:lvlJc w:val="left"/>
      <w:pPr>
        <w:ind w:left="502"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1"/>
  </w:num>
  <w:num w:numId="5">
    <w:abstractNumId w:val="2"/>
  </w:num>
  <w:num w:numId="6">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342"/>
    <w:rsid w:val="00001CF2"/>
    <w:rsid w:val="0000247B"/>
    <w:rsid w:val="0000469B"/>
    <w:rsid w:val="00024C6E"/>
    <w:rsid w:val="00034724"/>
    <w:rsid w:val="00035FF3"/>
    <w:rsid w:val="00043D35"/>
    <w:rsid w:val="00051021"/>
    <w:rsid w:val="00051ED9"/>
    <w:rsid w:val="00057181"/>
    <w:rsid w:val="0006473A"/>
    <w:rsid w:val="00064B2D"/>
    <w:rsid w:val="00065F1F"/>
    <w:rsid w:val="00076D33"/>
    <w:rsid w:val="00092CDA"/>
    <w:rsid w:val="0009731E"/>
    <w:rsid w:val="000A27E9"/>
    <w:rsid w:val="000A3D8B"/>
    <w:rsid w:val="000A5DF8"/>
    <w:rsid w:val="000A5F38"/>
    <w:rsid w:val="000B6AF2"/>
    <w:rsid w:val="000B78A8"/>
    <w:rsid w:val="000C54D2"/>
    <w:rsid w:val="000D6FD4"/>
    <w:rsid w:val="000E0AE4"/>
    <w:rsid w:val="000E3DBC"/>
    <w:rsid w:val="000E7DBB"/>
    <w:rsid w:val="000F2B5E"/>
    <w:rsid w:val="00113CE3"/>
    <w:rsid w:val="00117522"/>
    <w:rsid w:val="001542D8"/>
    <w:rsid w:val="00180C41"/>
    <w:rsid w:val="00182C4C"/>
    <w:rsid w:val="001930C0"/>
    <w:rsid w:val="00197D8D"/>
    <w:rsid w:val="001A1A75"/>
    <w:rsid w:val="001A7E9A"/>
    <w:rsid w:val="001C27A3"/>
    <w:rsid w:val="001C5295"/>
    <w:rsid w:val="001D4EEF"/>
    <w:rsid w:val="001E09FA"/>
    <w:rsid w:val="001E3174"/>
    <w:rsid w:val="001F60A4"/>
    <w:rsid w:val="00203540"/>
    <w:rsid w:val="002147DB"/>
    <w:rsid w:val="0021612B"/>
    <w:rsid w:val="0022083A"/>
    <w:rsid w:val="00221D07"/>
    <w:rsid w:val="00227E4A"/>
    <w:rsid w:val="00234FFC"/>
    <w:rsid w:val="0024582E"/>
    <w:rsid w:val="00245C56"/>
    <w:rsid w:val="002547EF"/>
    <w:rsid w:val="00256D65"/>
    <w:rsid w:val="00271F00"/>
    <w:rsid w:val="00273A80"/>
    <w:rsid w:val="0029204E"/>
    <w:rsid w:val="0029631C"/>
    <w:rsid w:val="002A0194"/>
    <w:rsid w:val="002A093D"/>
    <w:rsid w:val="002A3314"/>
    <w:rsid w:val="002A4A95"/>
    <w:rsid w:val="002A5F8B"/>
    <w:rsid w:val="002A7F6C"/>
    <w:rsid w:val="002B474D"/>
    <w:rsid w:val="002D6809"/>
    <w:rsid w:val="002E2D02"/>
    <w:rsid w:val="002F5D40"/>
    <w:rsid w:val="002F6488"/>
    <w:rsid w:val="00311D39"/>
    <w:rsid w:val="003201DD"/>
    <w:rsid w:val="00320839"/>
    <w:rsid w:val="003213F9"/>
    <w:rsid w:val="00323DBF"/>
    <w:rsid w:val="00326D85"/>
    <w:rsid w:val="003309A8"/>
    <w:rsid w:val="00332B12"/>
    <w:rsid w:val="00333E2C"/>
    <w:rsid w:val="00351B07"/>
    <w:rsid w:val="00352CF2"/>
    <w:rsid w:val="00364841"/>
    <w:rsid w:val="00371B29"/>
    <w:rsid w:val="0037656B"/>
    <w:rsid w:val="00380D37"/>
    <w:rsid w:val="00391769"/>
    <w:rsid w:val="003953E1"/>
    <w:rsid w:val="003956B3"/>
    <w:rsid w:val="003A68BE"/>
    <w:rsid w:val="003B1805"/>
    <w:rsid w:val="003B3C9D"/>
    <w:rsid w:val="003B78E0"/>
    <w:rsid w:val="003C4969"/>
    <w:rsid w:val="003D2885"/>
    <w:rsid w:val="003E41D5"/>
    <w:rsid w:val="003E46BA"/>
    <w:rsid w:val="003E7D22"/>
    <w:rsid w:val="003F74C1"/>
    <w:rsid w:val="004049DC"/>
    <w:rsid w:val="00405B1A"/>
    <w:rsid w:val="00407639"/>
    <w:rsid w:val="00410C76"/>
    <w:rsid w:val="00411907"/>
    <w:rsid w:val="00413CA8"/>
    <w:rsid w:val="00414FA7"/>
    <w:rsid w:val="00417EE3"/>
    <w:rsid w:val="004207EB"/>
    <w:rsid w:val="00420962"/>
    <w:rsid w:val="00437276"/>
    <w:rsid w:val="00456B54"/>
    <w:rsid w:val="00464643"/>
    <w:rsid w:val="00483CB1"/>
    <w:rsid w:val="00486793"/>
    <w:rsid w:val="004A2037"/>
    <w:rsid w:val="004C2CE7"/>
    <w:rsid w:val="004C7AB0"/>
    <w:rsid w:val="004F4F98"/>
    <w:rsid w:val="004F69F6"/>
    <w:rsid w:val="004F79AC"/>
    <w:rsid w:val="005017CF"/>
    <w:rsid w:val="005207D8"/>
    <w:rsid w:val="0053464E"/>
    <w:rsid w:val="0054272D"/>
    <w:rsid w:val="00562917"/>
    <w:rsid w:val="005774DF"/>
    <w:rsid w:val="00586228"/>
    <w:rsid w:val="00592B43"/>
    <w:rsid w:val="005A1D97"/>
    <w:rsid w:val="005A4B89"/>
    <w:rsid w:val="005A58F3"/>
    <w:rsid w:val="005B6AF4"/>
    <w:rsid w:val="005B7A73"/>
    <w:rsid w:val="005C04CB"/>
    <w:rsid w:val="005D16AD"/>
    <w:rsid w:val="005D72E1"/>
    <w:rsid w:val="005E181D"/>
    <w:rsid w:val="005E6E16"/>
    <w:rsid w:val="005F400E"/>
    <w:rsid w:val="005F5577"/>
    <w:rsid w:val="005F7342"/>
    <w:rsid w:val="00600DF1"/>
    <w:rsid w:val="00603A08"/>
    <w:rsid w:val="00610A3C"/>
    <w:rsid w:val="00617BE1"/>
    <w:rsid w:val="00627F48"/>
    <w:rsid w:val="00630C23"/>
    <w:rsid w:val="0064336B"/>
    <w:rsid w:val="006460AB"/>
    <w:rsid w:val="00663FCF"/>
    <w:rsid w:val="006652A2"/>
    <w:rsid w:val="00676CB9"/>
    <w:rsid w:val="00690140"/>
    <w:rsid w:val="00690206"/>
    <w:rsid w:val="006937FF"/>
    <w:rsid w:val="006A48A7"/>
    <w:rsid w:val="006B4BA1"/>
    <w:rsid w:val="006B5EBE"/>
    <w:rsid w:val="006C5CF5"/>
    <w:rsid w:val="006E782E"/>
    <w:rsid w:val="006F4A82"/>
    <w:rsid w:val="0070373B"/>
    <w:rsid w:val="00706F89"/>
    <w:rsid w:val="00724FA4"/>
    <w:rsid w:val="00730800"/>
    <w:rsid w:val="007602AA"/>
    <w:rsid w:val="00763D97"/>
    <w:rsid w:val="007652EF"/>
    <w:rsid w:val="00772BDC"/>
    <w:rsid w:val="00780792"/>
    <w:rsid w:val="00796562"/>
    <w:rsid w:val="00797204"/>
    <w:rsid w:val="00797BF5"/>
    <w:rsid w:val="007A44B4"/>
    <w:rsid w:val="007A7D3D"/>
    <w:rsid w:val="007B225D"/>
    <w:rsid w:val="007C174F"/>
    <w:rsid w:val="007C1C64"/>
    <w:rsid w:val="007D03EA"/>
    <w:rsid w:val="007D1AA9"/>
    <w:rsid w:val="007E48BC"/>
    <w:rsid w:val="007E79F7"/>
    <w:rsid w:val="007F0AF0"/>
    <w:rsid w:val="007F3630"/>
    <w:rsid w:val="00807559"/>
    <w:rsid w:val="008450BC"/>
    <w:rsid w:val="0085334B"/>
    <w:rsid w:val="00870214"/>
    <w:rsid w:val="00885C51"/>
    <w:rsid w:val="00885EB0"/>
    <w:rsid w:val="00891F4B"/>
    <w:rsid w:val="0089264A"/>
    <w:rsid w:val="00896B85"/>
    <w:rsid w:val="008A22BE"/>
    <w:rsid w:val="008C1B36"/>
    <w:rsid w:val="008D06C6"/>
    <w:rsid w:val="008E5E06"/>
    <w:rsid w:val="008E6250"/>
    <w:rsid w:val="00902AF6"/>
    <w:rsid w:val="009041B9"/>
    <w:rsid w:val="00920249"/>
    <w:rsid w:val="00924C80"/>
    <w:rsid w:val="00932F14"/>
    <w:rsid w:val="0094247F"/>
    <w:rsid w:val="00942D60"/>
    <w:rsid w:val="0096523B"/>
    <w:rsid w:val="00966EE3"/>
    <w:rsid w:val="00972D06"/>
    <w:rsid w:val="009835B3"/>
    <w:rsid w:val="00985B4E"/>
    <w:rsid w:val="00986304"/>
    <w:rsid w:val="009A391C"/>
    <w:rsid w:val="009A50F2"/>
    <w:rsid w:val="009A7FDE"/>
    <w:rsid w:val="009B0CAF"/>
    <w:rsid w:val="009B22A9"/>
    <w:rsid w:val="009D42CC"/>
    <w:rsid w:val="009E0A61"/>
    <w:rsid w:val="009E3010"/>
    <w:rsid w:val="009F007E"/>
    <w:rsid w:val="009F7065"/>
    <w:rsid w:val="00A107D1"/>
    <w:rsid w:val="00A4175D"/>
    <w:rsid w:val="00A56DC7"/>
    <w:rsid w:val="00A6169E"/>
    <w:rsid w:val="00A62785"/>
    <w:rsid w:val="00A74FD1"/>
    <w:rsid w:val="00A77BFA"/>
    <w:rsid w:val="00A84A58"/>
    <w:rsid w:val="00A96E36"/>
    <w:rsid w:val="00AE121C"/>
    <w:rsid w:val="00AF06FC"/>
    <w:rsid w:val="00AF2512"/>
    <w:rsid w:val="00AF3391"/>
    <w:rsid w:val="00AF387F"/>
    <w:rsid w:val="00B00E7F"/>
    <w:rsid w:val="00B12F1E"/>
    <w:rsid w:val="00B173DA"/>
    <w:rsid w:val="00B21DCC"/>
    <w:rsid w:val="00B21EBB"/>
    <w:rsid w:val="00B25F37"/>
    <w:rsid w:val="00B37BF0"/>
    <w:rsid w:val="00B44422"/>
    <w:rsid w:val="00B46EA0"/>
    <w:rsid w:val="00B649DB"/>
    <w:rsid w:val="00B731D3"/>
    <w:rsid w:val="00B839A3"/>
    <w:rsid w:val="00B902BD"/>
    <w:rsid w:val="00BA111D"/>
    <w:rsid w:val="00BA24E2"/>
    <w:rsid w:val="00BB5A17"/>
    <w:rsid w:val="00BD2A39"/>
    <w:rsid w:val="00BD2E80"/>
    <w:rsid w:val="00BD6E5B"/>
    <w:rsid w:val="00BE11B8"/>
    <w:rsid w:val="00BF7BCF"/>
    <w:rsid w:val="00BF7FF0"/>
    <w:rsid w:val="00C057F4"/>
    <w:rsid w:val="00C12502"/>
    <w:rsid w:val="00C36578"/>
    <w:rsid w:val="00C40AA5"/>
    <w:rsid w:val="00C46F70"/>
    <w:rsid w:val="00C475F3"/>
    <w:rsid w:val="00C476D0"/>
    <w:rsid w:val="00C516E5"/>
    <w:rsid w:val="00C61AC1"/>
    <w:rsid w:val="00C836E3"/>
    <w:rsid w:val="00C86577"/>
    <w:rsid w:val="00C92E07"/>
    <w:rsid w:val="00C96868"/>
    <w:rsid w:val="00CA0416"/>
    <w:rsid w:val="00CC560B"/>
    <w:rsid w:val="00CC75E2"/>
    <w:rsid w:val="00CD0D91"/>
    <w:rsid w:val="00CD46EB"/>
    <w:rsid w:val="00CD7EBF"/>
    <w:rsid w:val="00CF0C27"/>
    <w:rsid w:val="00CF2097"/>
    <w:rsid w:val="00D056F1"/>
    <w:rsid w:val="00D07060"/>
    <w:rsid w:val="00D11171"/>
    <w:rsid w:val="00D22F3C"/>
    <w:rsid w:val="00D23DB6"/>
    <w:rsid w:val="00D43FE6"/>
    <w:rsid w:val="00D51A95"/>
    <w:rsid w:val="00D60568"/>
    <w:rsid w:val="00D70C7A"/>
    <w:rsid w:val="00D73353"/>
    <w:rsid w:val="00D81D38"/>
    <w:rsid w:val="00D9620E"/>
    <w:rsid w:val="00D967D9"/>
    <w:rsid w:val="00DA10A8"/>
    <w:rsid w:val="00DB1E08"/>
    <w:rsid w:val="00DB2973"/>
    <w:rsid w:val="00DC1B56"/>
    <w:rsid w:val="00DC2129"/>
    <w:rsid w:val="00DC6570"/>
    <w:rsid w:val="00DD3C5E"/>
    <w:rsid w:val="00DE7BC1"/>
    <w:rsid w:val="00DF25C3"/>
    <w:rsid w:val="00E04062"/>
    <w:rsid w:val="00E063C6"/>
    <w:rsid w:val="00E066BA"/>
    <w:rsid w:val="00E2003B"/>
    <w:rsid w:val="00E203C2"/>
    <w:rsid w:val="00E279D8"/>
    <w:rsid w:val="00E319B1"/>
    <w:rsid w:val="00E44E0D"/>
    <w:rsid w:val="00E5492F"/>
    <w:rsid w:val="00E62DEF"/>
    <w:rsid w:val="00E70A86"/>
    <w:rsid w:val="00E777EC"/>
    <w:rsid w:val="00E80FCD"/>
    <w:rsid w:val="00E87C3A"/>
    <w:rsid w:val="00EA7F2F"/>
    <w:rsid w:val="00EC00DE"/>
    <w:rsid w:val="00EC30E1"/>
    <w:rsid w:val="00ED172A"/>
    <w:rsid w:val="00EE0225"/>
    <w:rsid w:val="00EE5890"/>
    <w:rsid w:val="00EF3370"/>
    <w:rsid w:val="00F05C8F"/>
    <w:rsid w:val="00F11F6C"/>
    <w:rsid w:val="00F14BEC"/>
    <w:rsid w:val="00F15598"/>
    <w:rsid w:val="00F225C5"/>
    <w:rsid w:val="00F2587A"/>
    <w:rsid w:val="00F36CFE"/>
    <w:rsid w:val="00F3715D"/>
    <w:rsid w:val="00F420C8"/>
    <w:rsid w:val="00F42A4C"/>
    <w:rsid w:val="00F51425"/>
    <w:rsid w:val="00F554AE"/>
    <w:rsid w:val="00F5607A"/>
    <w:rsid w:val="00F604DE"/>
    <w:rsid w:val="00F766E3"/>
    <w:rsid w:val="00F82556"/>
    <w:rsid w:val="00FB0697"/>
    <w:rsid w:val="00FB7512"/>
    <w:rsid w:val="00FD7547"/>
    <w:rsid w:val="00FE4A94"/>
    <w:rsid w:val="00FF5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223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caption" w:semiHidden="1" w:unhideWhenUsed="1"/>
    <w:lsdException w:name="Title" w:uiPriority="10"/>
    <w:lsdException w:name="Default Paragraph Font" w:uiPriority="1"/>
    <w:lsdException w:name="Subtitle" w:uiPriority="11"/>
    <w:lsdException w:name="Hyperlink" w:uiPriority="99"/>
    <w:lsdException w:name="Strong" w:uiPriority="22"/>
    <w:lsdException w:name="Emphasis" w:uiPriority="20"/>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796562"/>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180C41"/>
    <w:pPr>
      <w:keepNext/>
      <w:spacing w:before="240"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rsid w:val="00797BF5"/>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uiPriority w:val="9"/>
    <w:unhideWhenUsed/>
    <w:qFormat/>
    <w:rsid w:val="00797BF5"/>
    <w:pPr>
      <w:keepNext/>
      <w:spacing w:before="240" w:after="240"/>
      <w:ind w:left="851" w:hanging="851"/>
      <w:outlineLvl w:val="2"/>
    </w:pPr>
    <w:rPr>
      <w:b/>
      <w:bCs/>
      <w:color w:val="000000" w:themeColor="text1"/>
      <w:lang w:eastAsia="en-AU" w:bidi="ar-SA"/>
    </w:rPr>
  </w:style>
  <w:style w:type="paragraph" w:styleId="Heading4">
    <w:name w:val="heading 4"/>
    <w:aliases w:val="FSHeading 4,Subheading 2"/>
    <w:basedOn w:val="Normal"/>
    <w:next w:val="Normal"/>
    <w:link w:val="Heading4Char"/>
    <w:uiPriority w:val="9"/>
    <w:unhideWhenUsed/>
    <w:qFormat/>
    <w:rsid w:val="007C174F"/>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180C41"/>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797BF5"/>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797BF5"/>
    <w:rPr>
      <w:rFonts w:ascii="Arial" w:hAnsi="Arial"/>
      <w:b/>
      <w:bCs/>
      <w:color w:val="000000" w:themeColor="text1"/>
      <w:sz w:val="22"/>
      <w:szCs w:val="24"/>
      <w:lang w:eastAsia="en-AU"/>
    </w:rPr>
  </w:style>
  <w:style w:type="character" w:customStyle="1" w:styleId="Heading4Char">
    <w:name w:val="Heading 4 Char"/>
    <w:aliases w:val="FSHeading 4 Char,Subheading 2 Char"/>
    <w:link w:val="Heading4"/>
    <w:uiPriority w:val="9"/>
    <w:rsid w:val="007C174F"/>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basedOn w:val="Normal"/>
    <w:link w:val="HeaderChar"/>
    <w:rsid w:val="00E777EC"/>
  </w:style>
  <w:style w:type="paragraph" w:customStyle="1" w:styleId="FSTitle">
    <w:name w:val="FS Title"/>
    <w:basedOn w:val="Normal"/>
    <w:qFormat/>
    <w:rsid w:val="00690206"/>
    <w:rPr>
      <w:rFonts w:cs="Tahoma"/>
      <w:bCs/>
      <w:sz w:val="32"/>
    </w:rPr>
  </w:style>
  <w:style w:type="paragraph" w:customStyle="1" w:styleId="FSCbaseheading">
    <w:name w:val="FSC_base_heading"/>
    <w:rsid w:val="00796562"/>
    <w:pPr>
      <w:keepNext/>
      <w:keepLines/>
      <w:spacing w:before="360"/>
      <w:ind w:left="2835" w:hanging="2835"/>
    </w:pPr>
    <w:rPr>
      <w:rFonts w:ascii="Arial" w:hAnsi="Arial" w:cs="Arial"/>
      <w:b/>
      <w:bCs/>
      <w:kern w:val="32"/>
      <w:sz w:val="24"/>
      <w:szCs w:val="32"/>
      <w:lang w:eastAsia="en-AU"/>
    </w:rPr>
  </w:style>
  <w:style w:type="paragraph" w:styleId="TOC1">
    <w:name w:val="toc 1"/>
    <w:basedOn w:val="Normal"/>
    <w:next w:val="Normal"/>
    <w:autoRedefine/>
    <w:uiPriority w:val="39"/>
    <w:rsid w:val="00B25F37"/>
    <w:pPr>
      <w:spacing w:before="120" w:after="120"/>
    </w:pPr>
    <w:rPr>
      <w:rFonts w:asciiTheme="minorHAnsi" w:hAnsi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smallCaps/>
      <w:sz w:val="20"/>
      <w:szCs w:val="20"/>
    </w:rPr>
  </w:style>
  <w:style w:type="paragraph" w:styleId="Footer">
    <w:name w:val="footer"/>
    <w:basedOn w:val="Normal"/>
    <w:rsid w:val="00690206"/>
    <w:pPr>
      <w:tabs>
        <w:tab w:val="center" w:pos="4153"/>
        <w:tab w:val="right" w:pos="8306"/>
      </w:tabs>
    </w:pPr>
    <w:rPr>
      <w:sz w:val="20"/>
    </w:rPr>
  </w:style>
  <w:style w:type="character" w:styleId="PageNumber">
    <w:name w:val="page number"/>
    <w:basedOn w:val="DefaultParagraphFont"/>
    <w:rsid w:val="006A48A7"/>
    <w:rPr>
      <w:rFonts w:ascii="Arial" w:hAnsi="Arial"/>
    </w:rPr>
  </w:style>
  <w:style w:type="paragraph" w:styleId="TOC3">
    <w:name w:val="toc 3"/>
    <w:basedOn w:val="Normal"/>
    <w:next w:val="Normal"/>
    <w:autoRedefine/>
    <w:uiPriority w:val="39"/>
    <w:pPr>
      <w:ind w:left="440"/>
    </w:pPr>
    <w:rPr>
      <w:rFonts w:asciiTheme="minorHAnsi" w:hAnsiTheme="minorHAnsi"/>
      <w:i/>
      <w:iCs/>
      <w:sz w:val="20"/>
      <w:szCs w:val="20"/>
    </w:rPr>
  </w:style>
  <w:style w:type="paragraph" w:styleId="TOC4">
    <w:name w:val="toc 4"/>
    <w:basedOn w:val="Normal"/>
    <w:next w:val="Normal"/>
    <w:autoRedefine/>
    <w:semiHidden/>
    <w:pPr>
      <w:ind w:left="660"/>
    </w:pPr>
    <w:rPr>
      <w:rFonts w:asciiTheme="minorHAnsi" w:hAnsiTheme="minorHAnsi"/>
      <w:sz w:val="18"/>
      <w:szCs w:val="18"/>
    </w:rPr>
  </w:style>
  <w:style w:type="paragraph" w:styleId="TOC5">
    <w:name w:val="toc 5"/>
    <w:basedOn w:val="Normal"/>
    <w:next w:val="Normal"/>
    <w:autoRedefine/>
    <w:semiHidden/>
    <w:pPr>
      <w:ind w:left="880"/>
    </w:pPr>
    <w:rPr>
      <w:rFonts w:asciiTheme="minorHAnsi" w:hAnsi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sz w:val="18"/>
      <w:szCs w:val="18"/>
    </w:rPr>
  </w:style>
  <w:style w:type="paragraph" w:customStyle="1" w:styleId="FSCbasepara">
    <w:name w:val="FSC_base_para"/>
    <w:rsid w:val="00796562"/>
    <w:pPr>
      <w:keepLines/>
      <w:spacing w:before="120"/>
      <w:ind w:left="1701" w:hanging="1701"/>
    </w:pPr>
    <w:rPr>
      <w:rFonts w:ascii="Arial" w:hAnsi="Arial" w:cs="Arial"/>
      <w:iCs/>
      <w:szCs w:val="22"/>
      <w:lang w:eastAsia="en-AU"/>
    </w:rPr>
  </w:style>
  <w:style w:type="paragraph" w:customStyle="1" w:styleId="FSCbasetbl">
    <w:name w:val="FSC_base_tbl"/>
    <w:basedOn w:val="FSCbasepara"/>
    <w:rsid w:val="00796562"/>
    <w:pPr>
      <w:spacing w:before="60" w:after="60"/>
      <w:ind w:left="0" w:firstLine="0"/>
    </w:pPr>
    <w:rPr>
      <w:sz w:val="18"/>
    </w:rPr>
  </w:style>
  <w:style w:type="paragraph" w:customStyle="1" w:styleId="FSCbaseTOC">
    <w:name w:val="FSC_base_TOC"/>
    <w:rsid w:val="00796562"/>
    <w:pPr>
      <w:tabs>
        <w:tab w:val="right" w:pos="8278"/>
      </w:tabs>
      <w:ind w:left="2126" w:hanging="2126"/>
    </w:pPr>
    <w:rPr>
      <w:rFonts w:ascii="Arial" w:hAnsi="Arial" w:cs="Arial"/>
      <w:noProof/>
      <w:szCs w:val="22"/>
      <w:lang w:eastAsia="en-AU"/>
    </w:rPr>
  </w:style>
  <w:style w:type="paragraph" w:customStyle="1" w:styleId="FSCDraftingitem">
    <w:name w:val="FSC_Drafting_item"/>
    <w:basedOn w:val="Normal"/>
    <w:qFormat/>
    <w:rsid w:val="00796562"/>
    <w:pPr>
      <w:widowControl/>
      <w:tabs>
        <w:tab w:val="left" w:pos="851"/>
      </w:tabs>
      <w:spacing w:before="120" w:after="120"/>
    </w:pPr>
    <w:rPr>
      <w:sz w:val="20"/>
      <w:szCs w:val="20"/>
      <w:lang w:bidi="ar-SA"/>
    </w:rPr>
  </w:style>
  <w:style w:type="paragraph" w:customStyle="1" w:styleId="FSCDraftingitemheading">
    <w:name w:val="FSC_Drafting_item_heading"/>
    <w:basedOn w:val="Normal"/>
    <w:qFormat/>
    <w:rsid w:val="00796562"/>
    <w:pPr>
      <w:spacing w:before="120" w:after="120"/>
      <w:ind w:left="851" w:hanging="851"/>
    </w:pPr>
    <w:rPr>
      <w:b/>
      <w:sz w:val="20"/>
      <w:szCs w:val="20"/>
      <w:lang w:bidi="ar-SA"/>
    </w:rPr>
  </w:style>
  <w:style w:type="paragraph" w:customStyle="1" w:styleId="FSCfooter">
    <w:name w:val="FSC_footer"/>
    <w:basedOn w:val="Normal"/>
    <w:rsid w:val="00796562"/>
    <w:pPr>
      <w:widowControl/>
      <w:tabs>
        <w:tab w:val="center" w:pos="4536"/>
        <w:tab w:val="right" w:pos="9072"/>
      </w:tabs>
    </w:pPr>
    <w:rPr>
      <w:sz w:val="18"/>
      <w:szCs w:val="20"/>
      <w:lang w:bidi="ar-SA"/>
    </w:rPr>
  </w:style>
  <w:style w:type="paragraph" w:customStyle="1" w:styleId="FSCh1Chap">
    <w:name w:val="FSC_h1_Chap"/>
    <w:basedOn w:val="FSCbaseheading"/>
    <w:next w:val="Normal"/>
    <w:qFormat/>
    <w:rsid w:val="00796562"/>
    <w:pPr>
      <w:spacing w:before="0" w:after="240"/>
      <w:outlineLvl w:val="0"/>
    </w:pPr>
    <w:rPr>
      <w:bCs w:val="0"/>
      <w:sz w:val="40"/>
    </w:rPr>
  </w:style>
  <w:style w:type="paragraph" w:customStyle="1" w:styleId="FSCh2Part">
    <w:name w:val="FSC_h2_Part"/>
    <w:basedOn w:val="FSCbaseheading"/>
    <w:next w:val="Normal"/>
    <w:qFormat/>
    <w:rsid w:val="00796562"/>
    <w:pPr>
      <w:spacing w:before="240" w:after="240"/>
      <w:outlineLvl w:val="1"/>
    </w:pPr>
    <w:rPr>
      <w:bCs w:val="0"/>
      <w:sz w:val="36"/>
      <w:szCs w:val="22"/>
    </w:rPr>
  </w:style>
  <w:style w:type="paragraph" w:customStyle="1" w:styleId="FSCh3Standard">
    <w:name w:val="FSC_h3_Standard"/>
    <w:basedOn w:val="FSCbaseheading"/>
    <w:next w:val="Normal"/>
    <w:qFormat/>
    <w:rsid w:val="00796562"/>
    <w:pPr>
      <w:spacing w:before="0" w:after="240"/>
      <w:outlineLvl w:val="2"/>
    </w:pPr>
    <w:rPr>
      <w:sz w:val="32"/>
    </w:rPr>
  </w:style>
  <w:style w:type="paragraph" w:customStyle="1" w:styleId="FSCh3Contents">
    <w:name w:val="FSC_h3_Contents"/>
    <w:basedOn w:val="FSCh3Standard"/>
    <w:rsid w:val="00796562"/>
    <w:pPr>
      <w:ind w:left="0" w:firstLine="0"/>
      <w:jc w:val="center"/>
    </w:pPr>
  </w:style>
  <w:style w:type="paragraph" w:customStyle="1" w:styleId="FSCh4Div">
    <w:name w:val="FSC_h4_Div"/>
    <w:basedOn w:val="FSCbaseheading"/>
    <w:next w:val="Normal"/>
    <w:qFormat/>
    <w:rsid w:val="00796562"/>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rsid w:val="00796562"/>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Normal"/>
    <w:qFormat/>
    <w:rsid w:val="00796562"/>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Normal"/>
    <w:qFormat/>
    <w:rsid w:val="00796562"/>
    <w:pPr>
      <w:keepLines w:val="0"/>
      <w:widowControl w:val="0"/>
      <w:spacing w:before="120" w:after="60"/>
      <w:ind w:left="1701" w:firstLine="0"/>
    </w:pPr>
    <w:rPr>
      <w:b w:val="0"/>
      <w:i/>
      <w:sz w:val="20"/>
    </w:rPr>
  </w:style>
  <w:style w:type="paragraph" w:customStyle="1" w:styleId="Footnote">
    <w:name w:val="Footnote"/>
    <w:basedOn w:val="Normal"/>
    <w:pPr>
      <w:tabs>
        <w:tab w:val="left" w:pos="851"/>
      </w:tabs>
    </w:pPr>
    <w:rPr>
      <w:sz w:val="20"/>
      <w:szCs w:val="20"/>
    </w:rPr>
  </w:style>
  <w:style w:type="paragraph" w:styleId="TOC7">
    <w:name w:val="toc 7"/>
    <w:basedOn w:val="Normal"/>
    <w:next w:val="Normal"/>
    <w:autoRedefine/>
    <w:semiHidden/>
    <w:pPr>
      <w:ind w:left="1320"/>
    </w:pPr>
    <w:rPr>
      <w:rFonts w:asciiTheme="minorHAnsi" w:hAnsiTheme="minorHAnsi"/>
      <w:sz w:val="18"/>
      <w:szCs w:val="18"/>
    </w:rPr>
  </w:style>
  <w:style w:type="paragraph" w:styleId="TOC8">
    <w:name w:val="toc 8"/>
    <w:basedOn w:val="Normal"/>
    <w:next w:val="Normal"/>
    <w:autoRedefine/>
    <w:semiHidden/>
    <w:pPr>
      <w:ind w:left="1540"/>
    </w:pPr>
    <w:rPr>
      <w:rFonts w:asciiTheme="minorHAnsi" w:hAnsiTheme="minorHAnsi"/>
      <w:sz w:val="18"/>
      <w:szCs w:val="18"/>
    </w:rPr>
  </w:style>
  <w:style w:type="paragraph" w:styleId="TOC9">
    <w:name w:val="toc 9"/>
    <w:basedOn w:val="Normal"/>
    <w:next w:val="Normal"/>
    <w:autoRedefine/>
    <w:semiHidden/>
    <w:pPr>
      <w:ind w:left="1760"/>
    </w:pPr>
    <w:rPr>
      <w:rFonts w:asciiTheme="minorHAnsi" w:hAnsiTheme="minorHAnsi"/>
      <w:sz w:val="18"/>
      <w:szCs w:val="18"/>
    </w:rPr>
  </w:style>
  <w:style w:type="paragraph" w:styleId="FootnoteText">
    <w:name w:val="footnote text"/>
    <w:basedOn w:val="Normal"/>
    <w:semiHidden/>
    <w:rPr>
      <w:sz w:val="20"/>
      <w:szCs w:val="20"/>
    </w:rPr>
  </w:style>
  <w:style w:type="character" w:styleId="FootnoteReference">
    <w:name w:val="footnote reference"/>
    <w:basedOn w:val="DefaultParagraphFont"/>
    <w:semiHidden/>
    <w:rPr>
      <w:vertAlign w:val="superscript"/>
    </w:r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unhideWhenUsed/>
    <w:qFormat/>
    <w:rsid w:val="002A3314"/>
    <w:pPr>
      <w:jc w:val="center"/>
      <w:outlineLvl w:val="9"/>
    </w:pPr>
  </w:style>
  <w:style w:type="paragraph" w:customStyle="1" w:styleId="FSCtMain">
    <w:name w:val="FSC_t_Main"/>
    <w:basedOn w:val="FSCbasepara"/>
    <w:rsid w:val="00796562"/>
    <w:pPr>
      <w:keepLines w:val="0"/>
      <w:widowControl w:val="0"/>
      <w:tabs>
        <w:tab w:val="left" w:pos="1134"/>
      </w:tabs>
      <w:spacing w:after="120"/>
    </w:pPr>
  </w:style>
  <w:style w:type="paragraph" w:customStyle="1" w:styleId="FSCnatHeading">
    <w:name w:val="FSC_n_at_Heading"/>
    <w:basedOn w:val="FSCtMain"/>
    <w:qFormat/>
    <w:rsid w:val="00796562"/>
    <w:pPr>
      <w:ind w:left="851" w:hanging="851"/>
    </w:pPr>
    <w:rPr>
      <w:sz w:val="16"/>
    </w:rPr>
  </w:style>
  <w:style w:type="table" w:styleId="TableGrid">
    <w:name w:val="Table Grid"/>
    <w:basedOn w:val="TableNormal"/>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rsid w:val="00AF387F"/>
    <w:rPr>
      <w:sz w:val="16"/>
      <w:szCs w:val="16"/>
    </w:rPr>
  </w:style>
  <w:style w:type="paragraph" w:customStyle="1" w:styleId="FSCtPara">
    <w:name w:val="FSC_t_Para"/>
    <w:basedOn w:val="FSCtMain"/>
    <w:qFormat/>
    <w:rsid w:val="00796562"/>
    <w:pPr>
      <w:tabs>
        <w:tab w:val="clear" w:pos="1134"/>
        <w:tab w:val="left" w:pos="1701"/>
      </w:tabs>
      <w:spacing w:before="60" w:after="60"/>
      <w:ind w:left="2268" w:hanging="2268"/>
    </w:pPr>
  </w:style>
  <w:style w:type="paragraph" w:customStyle="1" w:styleId="FSCnMain">
    <w:name w:val="FSC_n_Main"/>
    <w:basedOn w:val="FSCtPara"/>
    <w:qFormat/>
    <w:rsid w:val="00796562"/>
    <w:rPr>
      <w:iCs w:val="0"/>
      <w:sz w:val="16"/>
      <w:szCs w:val="18"/>
    </w:rPr>
  </w:style>
  <w:style w:type="paragraph" w:customStyle="1" w:styleId="FSCtSubpara">
    <w:name w:val="FSC_t_Subpara"/>
    <w:basedOn w:val="FSCtMain"/>
    <w:qFormat/>
    <w:rsid w:val="00796562"/>
    <w:pPr>
      <w:tabs>
        <w:tab w:val="clear" w:pos="1134"/>
        <w:tab w:val="left" w:pos="2268"/>
      </w:tabs>
      <w:spacing w:before="60" w:after="60"/>
      <w:ind w:left="2835" w:hanging="2835"/>
    </w:pPr>
  </w:style>
  <w:style w:type="paragraph" w:customStyle="1" w:styleId="FSCnPara">
    <w:name w:val="FSC_n_Para"/>
    <w:basedOn w:val="FSCtSubpara"/>
    <w:qFormat/>
    <w:rsid w:val="00796562"/>
    <w:rPr>
      <w:sz w:val="16"/>
    </w:rPr>
  </w:style>
  <w:style w:type="paragraph" w:customStyle="1" w:styleId="FSCtSubsub">
    <w:name w:val="FSC_t_Subsub"/>
    <w:basedOn w:val="FSCtPara"/>
    <w:qFormat/>
    <w:rsid w:val="00796562"/>
    <w:pPr>
      <w:tabs>
        <w:tab w:val="clear" w:pos="1701"/>
        <w:tab w:val="left" w:pos="2835"/>
      </w:tabs>
      <w:ind w:left="3402" w:hanging="3402"/>
    </w:pPr>
  </w:style>
  <w:style w:type="paragraph" w:customStyle="1" w:styleId="FSCnSubpara">
    <w:name w:val="FSC_n_Subpara"/>
    <w:basedOn w:val="FSCtSubsub"/>
    <w:qFormat/>
    <w:rsid w:val="00796562"/>
    <w:rPr>
      <w:sz w:val="16"/>
    </w:rPr>
  </w:style>
  <w:style w:type="paragraph" w:customStyle="1" w:styleId="FSBullet1">
    <w:name w:val="FSBullet 1"/>
    <w:basedOn w:val="Normal"/>
    <w:next w:val="Normal"/>
    <w:link w:val="FSBullet1Char"/>
    <w:qFormat/>
    <w:rsid w:val="0029631C"/>
    <w:pPr>
      <w:widowControl/>
      <w:numPr>
        <w:numId w:val="1"/>
      </w:numPr>
      <w:ind w:left="567" w:hanging="567"/>
    </w:pPr>
    <w:rPr>
      <w:rFonts w:cs="Arial"/>
      <w:lang w:bidi="ar-SA"/>
    </w:rPr>
  </w:style>
  <w:style w:type="character" w:customStyle="1" w:styleId="FSBullet1Char">
    <w:name w:val="FSBullet 1 Char"/>
    <w:link w:val="FSBullet1"/>
    <w:rsid w:val="0029631C"/>
    <w:rPr>
      <w:rFonts w:ascii="Arial" w:hAnsi="Arial" w:cs="Arial"/>
      <w:sz w:val="22"/>
      <w:szCs w:val="24"/>
      <w:lang w:eastAsia="en-US"/>
    </w:rPr>
  </w:style>
  <w:style w:type="paragraph" w:customStyle="1" w:styleId="FSBullet2">
    <w:name w:val="FSBullet 2"/>
    <w:basedOn w:val="Normal"/>
    <w:qFormat/>
    <w:rsid w:val="0029631C"/>
    <w:pPr>
      <w:widowControl/>
      <w:numPr>
        <w:numId w:val="2"/>
      </w:numPr>
      <w:ind w:left="1134" w:hanging="567"/>
    </w:pPr>
    <w:rPr>
      <w:rFonts w:eastAsia="Calibri"/>
      <w:szCs w:val="22"/>
      <w:lang w:bidi="ar-SA"/>
    </w:rPr>
  </w:style>
  <w:style w:type="paragraph" w:customStyle="1" w:styleId="FSBullet3">
    <w:name w:val="FSBullet 3"/>
    <w:basedOn w:val="Normal"/>
    <w:qFormat/>
    <w:rsid w:val="0029631C"/>
    <w:pPr>
      <w:keepNext/>
      <w:widowControl/>
      <w:numPr>
        <w:numId w:val="3"/>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customStyle="1" w:styleId="HeaderChar">
    <w:name w:val="Header Char"/>
    <w:basedOn w:val="DefaultParagraphFont"/>
    <w:link w:val="Header"/>
    <w:rsid w:val="007D03EA"/>
    <w:rPr>
      <w:rFonts w:ascii="Arial" w:hAnsi="Arial"/>
      <w:sz w:val="22"/>
      <w:szCs w:val="24"/>
      <w:lang w:eastAsia="en-US" w:bidi="en-US"/>
    </w:rPr>
  </w:style>
  <w:style w:type="paragraph" w:customStyle="1" w:styleId="FSCnSubsub">
    <w:name w:val="FSC_n_Subsub"/>
    <w:basedOn w:val="FSCnSubpara"/>
    <w:qFormat/>
    <w:rsid w:val="00796562"/>
    <w:pPr>
      <w:tabs>
        <w:tab w:val="clear" w:pos="2835"/>
        <w:tab w:val="left" w:pos="3402"/>
      </w:tabs>
      <w:ind w:left="3969" w:hanging="3969"/>
    </w:pPr>
  </w:style>
  <w:style w:type="paragraph" w:customStyle="1" w:styleId="FSCoContents">
    <w:name w:val="FSC_o_Contents"/>
    <w:basedOn w:val="FSCh2Part"/>
    <w:rsid w:val="00796562"/>
    <w:pPr>
      <w:ind w:left="0" w:firstLine="0"/>
      <w:jc w:val="center"/>
    </w:pPr>
  </w:style>
  <w:style w:type="paragraph" w:customStyle="1" w:styleId="FSCoDraftstrip">
    <w:name w:val="FSC_o_Draft_strip"/>
    <w:basedOn w:val="Normal"/>
    <w:rsid w:val="00796562"/>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rsid w:val="00796562"/>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rsid w:val="00796562"/>
    <w:pPr>
      <w:widowControl/>
      <w:spacing w:before="80"/>
    </w:pPr>
    <w:rPr>
      <w:color w:val="7030A0"/>
      <w:lang w:eastAsia="en-AU" w:bidi="ar-SA"/>
    </w:rPr>
  </w:style>
  <w:style w:type="paragraph" w:customStyle="1" w:styleId="FSCoFooter">
    <w:name w:val="FSC_o_Footer"/>
    <w:basedOn w:val="Normal"/>
    <w:rsid w:val="00796562"/>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rsid w:val="00796562"/>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rsid w:val="00796562"/>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796562"/>
    <w:rPr>
      <w:rFonts w:ascii="Arial" w:hAnsi="Arial"/>
      <w:b/>
      <w:noProof/>
      <w:szCs w:val="24"/>
      <w:lang w:eastAsia="en-AU"/>
    </w:rPr>
  </w:style>
  <w:style w:type="paragraph" w:customStyle="1" w:styleId="FSCoParaMark">
    <w:name w:val="FSC_o_Para_Mark"/>
    <w:basedOn w:val="Normal"/>
    <w:next w:val="Normal"/>
    <w:qFormat/>
    <w:rsid w:val="00796562"/>
    <w:pPr>
      <w:widowControl/>
    </w:pPr>
    <w:rPr>
      <w:sz w:val="16"/>
      <w:lang w:eastAsia="en-AU" w:bidi="ar-SA"/>
    </w:rPr>
  </w:style>
  <w:style w:type="paragraph" w:customStyle="1" w:styleId="FSCoStandardEnd">
    <w:name w:val="FSC_o_Standard_End"/>
    <w:basedOn w:val="FSCtMain"/>
    <w:qFormat/>
    <w:rsid w:val="00796562"/>
    <w:pPr>
      <w:spacing w:before="240" w:after="0"/>
      <w:jc w:val="center"/>
    </w:pPr>
    <w:rPr>
      <w:iCs w:val="0"/>
    </w:rPr>
  </w:style>
  <w:style w:type="paragraph" w:customStyle="1" w:styleId="FSCoTitleofInstrument">
    <w:name w:val="FSC_o_Title_of_Instrument"/>
    <w:basedOn w:val="Normal"/>
    <w:rsid w:val="00796562"/>
    <w:pPr>
      <w:widowControl/>
      <w:spacing w:before="200"/>
    </w:pPr>
    <w:rPr>
      <w:b/>
      <w:sz w:val="32"/>
      <w:lang w:eastAsia="en-AU" w:bidi="ar-SA"/>
    </w:rPr>
  </w:style>
  <w:style w:type="paragraph" w:customStyle="1" w:styleId="FSCoutChap">
    <w:name w:val="FSC_out_Chap"/>
    <w:basedOn w:val="FSCh4Div"/>
    <w:qFormat/>
    <w:rsid w:val="00796562"/>
    <w:pPr>
      <w:tabs>
        <w:tab w:val="left" w:pos="1701"/>
      </w:tabs>
      <w:spacing w:after="120"/>
      <w:ind w:left="3402" w:hanging="3402"/>
    </w:pPr>
  </w:style>
  <w:style w:type="paragraph" w:customStyle="1" w:styleId="FSCoutPart">
    <w:name w:val="FSC_out_Part"/>
    <w:basedOn w:val="FSCh5Section"/>
    <w:qFormat/>
    <w:rsid w:val="00796562"/>
    <w:pPr>
      <w:keepNext w:val="0"/>
      <w:tabs>
        <w:tab w:val="left" w:pos="1701"/>
      </w:tabs>
      <w:ind w:left="3402" w:hanging="3402"/>
    </w:pPr>
  </w:style>
  <w:style w:type="paragraph" w:customStyle="1" w:styleId="FSCoutStand">
    <w:name w:val="FSC_out_Stand"/>
    <w:basedOn w:val="FSCtMain"/>
    <w:qFormat/>
    <w:rsid w:val="00796562"/>
    <w:pPr>
      <w:tabs>
        <w:tab w:val="clear" w:pos="1134"/>
        <w:tab w:val="left" w:pos="1701"/>
      </w:tabs>
      <w:ind w:left="3402" w:hanging="3402"/>
    </w:pPr>
  </w:style>
  <w:style w:type="paragraph" w:customStyle="1" w:styleId="FSCtDefn">
    <w:name w:val="FSC_t_Defn"/>
    <w:basedOn w:val="FSCtMain"/>
    <w:rsid w:val="00796562"/>
    <w:pPr>
      <w:ind w:firstLine="0"/>
    </w:pPr>
  </w:style>
  <w:style w:type="paragraph" w:customStyle="1" w:styleId="FSCtblAddh1">
    <w:name w:val="FSC_tbl_Add_h1"/>
    <w:basedOn w:val="FSCh4Div"/>
    <w:rsid w:val="00796562"/>
    <w:pPr>
      <w:spacing w:before="120" w:after="120"/>
    </w:pPr>
    <w:rPr>
      <w:rFonts w:eastAsiaTheme="minorHAnsi"/>
      <w:sz w:val="20"/>
      <w:lang w:eastAsia="en-US"/>
    </w:rPr>
  </w:style>
  <w:style w:type="paragraph" w:customStyle="1" w:styleId="FSCtblAddh2">
    <w:name w:val="FSC_tbl_Add_h2"/>
    <w:basedOn w:val="FSCtblAddh1"/>
    <w:rsid w:val="00796562"/>
    <w:pPr>
      <w:spacing w:before="60" w:after="60"/>
    </w:pPr>
    <w:rPr>
      <w:i/>
    </w:rPr>
  </w:style>
  <w:style w:type="paragraph" w:customStyle="1" w:styleId="FSCtblAddh3">
    <w:name w:val="FSC_tbl_Add_h3"/>
    <w:basedOn w:val="Normal"/>
    <w:rsid w:val="00796562"/>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rsid w:val="00796562"/>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rsid w:val="00796562"/>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rsid w:val="00796562"/>
    <w:pPr>
      <w:keepLines/>
      <w:widowControl/>
      <w:spacing w:before="20" w:after="20"/>
    </w:pPr>
    <w:rPr>
      <w:rFonts w:eastAsiaTheme="minorHAnsi" w:cs="Arial"/>
      <w:sz w:val="18"/>
      <w:szCs w:val="22"/>
      <w:lang w:bidi="ar-SA"/>
    </w:rPr>
  </w:style>
  <w:style w:type="paragraph" w:customStyle="1" w:styleId="FSCtblAdd2">
    <w:name w:val="FSC_tbl_Add2"/>
    <w:basedOn w:val="Normal"/>
    <w:qFormat/>
    <w:rsid w:val="00796562"/>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rsid w:val="00796562"/>
    <w:pPr>
      <w:keepNext/>
      <w:widowControl/>
      <w:spacing w:after="60"/>
    </w:pPr>
    <w:rPr>
      <w:rFonts w:eastAsia="Calibri"/>
      <w:b/>
      <w:sz w:val="16"/>
      <w:szCs w:val="20"/>
      <w:lang w:eastAsia="en-AU" w:bidi="ar-SA"/>
    </w:rPr>
  </w:style>
  <w:style w:type="paragraph" w:customStyle="1" w:styleId="FSCtblAmendmain">
    <w:name w:val="FSC_tbl_Amend_main"/>
    <w:basedOn w:val="Normal"/>
    <w:qFormat/>
    <w:rsid w:val="00796562"/>
    <w:pPr>
      <w:widowControl/>
      <w:ind w:left="113" w:hanging="113"/>
    </w:pPr>
    <w:rPr>
      <w:bCs/>
      <w:sz w:val="16"/>
      <w:szCs w:val="20"/>
      <w:lang w:bidi="ar-SA"/>
    </w:rPr>
  </w:style>
  <w:style w:type="paragraph" w:customStyle="1" w:styleId="FSCtblh2">
    <w:name w:val="FSC_tbl_h2"/>
    <w:basedOn w:val="Normal"/>
    <w:qFormat/>
    <w:rsid w:val="00796562"/>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rsid w:val="00796562"/>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rsid w:val="00796562"/>
    <w:pPr>
      <w:keepNext/>
      <w:keepLines/>
      <w:widowControl/>
      <w:spacing w:before="60" w:after="60"/>
    </w:pPr>
    <w:rPr>
      <w:rFonts w:cs="Arial"/>
      <w:i/>
      <w:sz w:val="18"/>
      <w:szCs w:val="22"/>
      <w:lang w:eastAsia="en-AU" w:bidi="ar-SA"/>
    </w:rPr>
  </w:style>
  <w:style w:type="paragraph" w:customStyle="1" w:styleId="FSCtblMain">
    <w:name w:val="FSC_tbl_Main"/>
    <w:basedOn w:val="Normal"/>
    <w:rsid w:val="00796562"/>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rsid w:val="00796562"/>
    <w:pPr>
      <w:jc w:val="center"/>
    </w:pPr>
    <w:rPr>
      <w:rFonts w:eastAsiaTheme="minorHAnsi"/>
      <w:lang w:eastAsia="en-US"/>
    </w:rPr>
  </w:style>
  <w:style w:type="paragraph" w:customStyle="1" w:styleId="FSCtblMainRH">
    <w:name w:val="FSC_tbl_Main_RH"/>
    <w:basedOn w:val="FSCtblMain"/>
    <w:qFormat/>
    <w:rsid w:val="00796562"/>
    <w:pPr>
      <w:jc w:val="right"/>
    </w:pPr>
    <w:rPr>
      <w:rFonts w:eastAsiaTheme="minorHAnsi"/>
      <w:lang w:eastAsia="en-US"/>
    </w:rPr>
  </w:style>
  <w:style w:type="paragraph" w:customStyle="1" w:styleId="FSCtblMRL1">
    <w:name w:val="FSC_tbl_MRL1"/>
    <w:basedOn w:val="Normal"/>
    <w:rsid w:val="00796562"/>
    <w:pPr>
      <w:keepLines/>
      <w:widowControl/>
      <w:spacing w:before="20" w:after="20"/>
    </w:pPr>
    <w:rPr>
      <w:rFonts w:cs="Arial"/>
      <w:sz w:val="18"/>
      <w:szCs w:val="20"/>
      <w:lang w:eastAsia="en-AU" w:bidi="ar-SA"/>
    </w:rPr>
  </w:style>
  <w:style w:type="paragraph" w:customStyle="1" w:styleId="FSCtblMRL2">
    <w:name w:val="FSC_tbl_MRL2"/>
    <w:basedOn w:val="FSCtblMRL1"/>
    <w:qFormat/>
    <w:rsid w:val="00796562"/>
    <w:pPr>
      <w:jc w:val="right"/>
    </w:pPr>
    <w:rPr>
      <w:rFonts w:eastAsiaTheme="minorHAnsi"/>
      <w:lang w:eastAsia="en-US"/>
    </w:rPr>
  </w:style>
  <w:style w:type="paragraph" w:customStyle="1" w:styleId="FSCtblPara">
    <w:name w:val="FSC_tbl_Para"/>
    <w:basedOn w:val="Normal"/>
    <w:rsid w:val="00796562"/>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rsid w:val="00796562"/>
    <w:pPr>
      <w:keepLines/>
      <w:widowControl/>
      <w:spacing w:before="60" w:after="60"/>
      <w:ind w:left="794" w:hanging="397"/>
    </w:pPr>
    <w:rPr>
      <w:rFonts w:cs="Arial"/>
      <w:sz w:val="18"/>
      <w:szCs w:val="22"/>
      <w:lang w:eastAsia="en-AU" w:bidi="ar-SA"/>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rPr>
      <w:rFonts w:ascii="Arial" w:hAnsi="Arial"/>
      <w:lang w:eastAsia="en-US" w:bidi="en-US"/>
    </w:rPr>
  </w:style>
  <w:style w:type="paragraph" w:styleId="ListParagraph">
    <w:name w:val="List Paragraph"/>
    <w:basedOn w:val="Normal"/>
    <w:uiPriority w:val="34"/>
    <w:rsid w:val="00034724"/>
    <w:pPr>
      <w:ind w:left="720"/>
      <w:contextualSpacing/>
    </w:pPr>
  </w:style>
  <w:style w:type="paragraph" w:styleId="CommentSubject">
    <w:name w:val="annotation subject"/>
    <w:basedOn w:val="CommentText"/>
    <w:next w:val="CommentText"/>
    <w:link w:val="CommentSubjectChar"/>
    <w:rsid w:val="00BF7BCF"/>
    <w:rPr>
      <w:b/>
      <w:bCs/>
    </w:rPr>
  </w:style>
  <w:style w:type="character" w:customStyle="1" w:styleId="CommentSubjectChar">
    <w:name w:val="Comment Subject Char"/>
    <w:basedOn w:val="CommentTextChar"/>
    <w:link w:val="CommentSubject"/>
    <w:rsid w:val="00BF7BCF"/>
    <w:rPr>
      <w:rFonts w:ascii="Arial" w:hAnsi="Arial"/>
      <w:b/>
      <w:bCs/>
      <w:lang w:eastAsia="en-US" w:bidi="en-US"/>
    </w:rPr>
  </w:style>
  <w:style w:type="paragraph" w:styleId="Revision">
    <w:name w:val="Revision"/>
    <w:hidden/>
    <w:uiPriority w:val="99"/>
    <w:semiHidden/>
    <w:rsid w:val="00F05C8F"/>
    <w:rPr>
      <w:rFonts w:ascii="Arial" w:hAnsi="Arial"/>
      <w:sz w:val="22"/>
      <w:szCs w:val="24"/>
      <w:lang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caption" w:semiHidden="1" w:unhideWhenUsed="1"/>
    <w:lsdException w:name="Title" w:uiPriority="10"/>
    <w:lsdException w:name="Default Paragraph Font" w:uiPriority="1"/>
    <w:lsdException w:name="Subtitle" w:uiPriority="11"/>
    <w:lsdException w:name="Hyperlink" w:uiPriority="99"/>
    <w:lsdException w:name="Strong" w:uiPriority="22"/>
    <w:lsdException w:name="Emphasis" w:uiPriority="20"/>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796562"/>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180C41"/>
    <w:pPr>
      <w:keepNext/>
      <w:spacing w:before="240"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rsid w:val="00797BF5"/>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uiPriority w:val="9"/>
    <w:unhideWhenUsed/>
    <w:qFormat/>
    <w:rsid w:val="00797BF5"/>
    <w:pPr>
      <w:keepNext/>
      <w:spacing w:before="240" w:after="240"/>
      <w:ind w:left="851" w:hanging="851"/>
      <w:outlineLvl w:val="2"/>
    </w:pPr>
    <w:rPr>
      <w:b/>
      <w:bCs/>
      <w:color w:val="000000" w:themeColor="text1"/>
      <w:lang w:eastAsia="en-AU" w:bidi="ar-SA"/>
    </w:rPr>
  </w:style>
  <w:style w:type="paragraph" w:styleId="Heading4">
    <w:name w:val="heading 4"/>
    <w:aliases w:val="FSHeading 4,Subheading 2"/>
    <w:basedOn w:val="Normal"/>
    <w:next w:val="Normal"/>
    <w:link w:val="Heading4Char"/>
    <w:uiPriority w:val="9"/>
    <w:unhideWhenUsed/>
    <w:qFormat/>
    <w:rsid w:val="007C174F"/>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180C41"/>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797BF5"/>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797BF5"/>
    <w:rPr>
      <w:rFonts w:ascii="Arial" w:hAnsi="Arial"/>
      <w:b/>
      <w:bCs/>
      <w:color w:val="000000" w:themeColor="text1"/>
      <w:sz w:val="22"/>
      <w:szCs w:val="24"/>
      <w:lang w:eastAsia="en-AU"/>
    </w:rPr>
  </w:style>
  <w:style w:type="character" w:customStyle="1" w:styleId="Heading4Char">
    <w:name w:val="Heading 4 Char"/>
    <w:aliases w:val="FSHeading 4 Char,Subheading 2 Char"/>
    <w:link w:val="Heading4"/>
    <w:uiPriority w:val="9"/>
    <w:rsid w:val="007C174F"/>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basedOn w:val="Normal"/>
    <w:link w:val="HeaderChar"/>
    <w:rsid w:val="00E777EC"/>
  </w:style>
  <w:style w:type="paragraph" w:customStyle="1" w:styleId="FSTitle">
    <w:name w:val="FS Title"/>
    <w:basedOn w:val="Normal"/>
    <w:qFormat/>
    <w:rsid w:val="00690206"/>
    <w:rPr>
      <w:rFonts w:cs="Tahoma"/>
      <w:bCs/>
      <w:sz w:val="32"/>
    </w:rPr>
  </w:style>
  <w:style w:type="paragraph" w:customStyle="1" w:styleId="FSCbaseheading">
    <w:name w:val="FSC_base_heading"/>
    <w:rsid w:val="00796562"/>
    <w:pPr>
      <w:keepNext/>
      <w:keepLines/>
      <w:spacing w:before="360"/>
      <w:ind w:left="2835" w:hanging="2835"/>
    </w:pPr>
    <w:rPr>
      <w:rFonts w:ascii="Arial" w:hAnsi="Arial" w:cs="Arial"/>
      <w:b/>
      <w:bCs/>
      <w:kern w:val="32"/>
      <w:sz w:val="24"/>
      <w:szCs w:val="32"/>
      <w:lang w:eastAsia="en-AU"/>
    </w:rPr>
  </w:style>
  <w:style w:type="paragraph" w:styleId="TOC1">
    <w:name w:val="toc 1"/>
    <w:basedOn w:val="Normal"/>
    <w:next w:val="Normal"/>
    <w:autoRedefine/>
    <w:uiPriority w:val="39"/>
    <w:rsid w:val="00B25F37"/>
    <w:pPr>
      <w:spacing w:before="120" w:after="120"/>
    </w:pPr>
    <w:rPr>
      <w:rFonts w:asciiTheme="minorHAnsi" w:hAnsi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smallCaps/>
      <w:sz w:val="20"/>
      <w:szCs w:val="20"/>
    </w:rPr>
  </w:style>
  <w:style w:type="paragraph" w:styleId="Footer">
    <w:name w:val="footer"/>
    <w:basedOn w:val="Normal"/>
    <w:rsid w:val="00690206"/>
    <w:pPr>
      <w:tabs>
        <w:tab w:val="center" w:pos="4153"/>
        <w:tab w:val="right" w:pos="8306"/>
      </w:tabs>
    </w:pPr>
    <w:rPr>
      <w:sz w:val="20"/>
    </w:rPr>
  </w:style>
  <w:style w:type="character" w:styleId="PageNumber">
    <w:name w:val="page number"/>
    <w:basedOn w:val="DefaultParagraphFont"/>
    <w:rsid w:val="006A48A7"/>
    <w:rPr>
      <w:rFonts w:ascii="Arial" w:hAnsi="Arial"/>
    </w:rPr>
  </w:style>
  <w:style w:type="paragraph" w:styleId="TOC3">
    <w:name w:val="toc 3"/>
    <w:basedOn w:val="Normal"/>
    <w:next w:val="Normal"/>
    <w:autoRedefine/>
    <w:uiPriority w:val="39"/>
    <w:pPr>
      <w:ind w:left="440"/>
    </w:pPr>
    <w:rPr>
      <w:rFonts w:asciiTheme="minorHAnsi" w:hAnsiTheme="minorHAnsi"/>
      <w:i/>
      <w:iCs/>
      <w:sz w:val="20"/>
      <w:szCs w:val="20"/>
    </w:rPr>
  </w:style>
  <w:style w:type="paragraph" w:styleId="TOC4">
    <w:name w:val="toc 4"/>
    <w:basedOn w:val="Normal"/>
    <w:next w:val="Normal"/>
    <w:autoRedefine/>
    <w:semiHidden/>
    <w:pPr>
      <w:ind w:left="660"/>
    </w:pPr>
    <w:rPr>
      <w:rFonts w:asciiTheme="minorHAnsi" w:hAnsiTheme="minorHAnsi"/>
      <w:sz w:val="18"/>
      <w:szCs w:val="18"/>
    </w:rPr>
  </w:style>
  <w:style w:type="paragraph" w:styleId="TOC5">
    <w:name w:val="toc 5"/>
    <w:basedOn w:val="Normal"/>
    <w:next w:val="Normal"/>
    <w:autoRedefine/>
    <w:semiHidden/>
    <w:pPr>
      <w:ind w:left="880"/>
    </w:pPr>
    <w:rPr>
      <w:rFonts w:asciiTheme="minorHAnsi" w:hAnsi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sz w:val="18"/>
      <w:szCs w:val="18"/>
    </w:rPr>
  </w:style>
  <w:style w:type="paragraph" w:customStyle="1" w:styleId="FSCbasepara">
    <w:name w:val="FSC_base_para"/>
    <w:rsid w:val="00796562"/>
    <w:pPr>
      <w:keepLines/>
      <w:spacing w:before="120"/>
      <w:ind w:left="1701" w:hanging="1701"/>
    </w:pPr>
    <w:rPr>
      <w:rFonts w:ascii="Arial" w:hAnsi="Arial" w:cs="Arial"/>
      <w:iCs/>
      <w:szCs w:val="22"/>
      <w:lang w:eastAsia="en-AU"/>
    </w:rPr>
  </w:style>
  <w:style w:type="paragraph" w:customStyle="1" w:styleId="FSCbasetbl">
    <w:name w:val="FSC_base_tbl"/>
    <w:basedOn w:val="FSCbasepara"/>
    <w:rsid w:val="00796562"/>
    <w:pPr>
      <w:spacing w:before="60" w:after="60"/>
      <w:ind w:left="0" w:firstLine="0"/>
    </w:pPr>
    <w:rPr>
      <w:sz w:val="18"/>
    </w:rPr>
  </w:style>
  <w:style w:type="paragraph" w:customStyle="1" w:styleId="FSCbaseTOC">
    <w:name w:val="FSC_base_TOC"/>
    <w:rsid w:val="00796562"/>
    <w:pPr>
      <w:tabs>
        <w:tab w:val="right" w:pos="8278"/>
      </w:tabs>
      <w:ind w:left="2126" w:hanging="2126"/>
    </w:pPr>
    <w:rPr>
      <w:rFonts w:ascii="Arial" w:hAnsi="Arial" w:cs="Arial"/>
      <w:noProof/>
      <w:szCs w:val="22"/>
      <w:lang w:eastAsia="en-AU"/>
    </w:rPr>
  </w:style>
  <w:style w:type="paragraph" w:customStyle="1" w:styleId="FSCDraftingitem">
    <w:name w:val="FSC_Drafting_item"/>
    <w:basedOn w:val="Normal"/>
    <w:qFormat/>
    <w:rsid w:val="00796562"/>
    <w:pPr>
      <w:widowControl/>
      <w:tabs>
        <w:tab w:val="left" w:pos="851"/>
      </w:tabs>
      <w:spacing w:before="120" w:after="120"/>
    </w:pPr>
    <w:rPr>
      <w:sz w:val="20"/>
      <w:szCs w:val="20"/>
      <w:lang w:bidi="ar-SA"/>
    </w:rPr>
  </w:style>
  <w:style w:type="paragraph" w:customStyle="1" w:styleId="FSCDraftingitemheading">
    <w:name w:val="FSC_Drafting_item_heading"/>
    <w:basedOn w:val="Normal"/>
    <w:qFormat/>
    <w:rsid w:val="00796562"/>
    <w:pPr>
      <w:spacing w:before="120" w:after="120"/>
      <w:ind w:left="851" w:hanging="851"/>
    </w:pPr>
    <w:rPr>
      <w:b/>
      <w:sz w:val="20"/>
      <w:szCs w:val="20"/>
      <w:lang w:bidi="ar-SA"/>
    </w:rPr>
  </w:style>
  <w:style w:type="paragraph" w:customStyle="1" w:styleId="FSCfooter">
    <w:name w:val="FSC_footer"/>
    <w:basedOn w:val="Normal"/>
    <w:rsid w:val="00796562"/>
    <w:pPr>
      <w:widowControl/>
      <w:tabs>
        <w:tab w:val="center" w:pos="4536"/>
        <w:tab w:val="right" w:pos="9072"/>
      </w:tabs>
    </w:pPr>
    <w:rPr>
      <w:sz w:val="18"/>
      <w:szCs w:val="20"/>
      <w:lang w:bidi="ar-SA"/>
    </w:rPr>
  </w:style>
  <w:style w:type="paragraph" w:customStyle="1" w:styleId="FSCh1Chap">
    <w:name w:val="FSC_h1_Chap"/>
    <w:basedOn w:val="FSCbaseheading"/>
    <w:next w:val="Normal"/>
    <w:qFormat/>
    <w:rsid w:val="00796562"/>
    <w:pPr>
      <w:spacing w:before="0" w:after="240"/>
      <w:outlineLvl w:val="0"/>
    </w:pPr>
    <w:rPr>
      <w:bCs w:val="0"/>
      <w:sz w:val="40"/>
    </w:rPr>
  </w:style>
  <w:style w:type="paragraph" w:customStyle="1" w:styleId="FSCh2Part">
    <w:name w:val="FSC_h2_Part"/>
    <w:basedOn w:val="FSCbaseheading"/>
    <w:next w:val="Normal"/>
    <w:qFormat/>
    <w:rsid w:val="00796562"/>
    <w:pPr>
      <w:spacing w:before="240" w:after="240"/>
      <w:outlineLvl w:val="1"/>
    </w:pPr>
    <w:rPr>
      <w:bCs w:val="0"/>
      <w:sz w:val="36"/>
      <w:szCs w:val="22"/>
    </w:rPr>
  </w:style>
  <w:style w:type="paragraph" w:customStyle="1" w:styleId="FSCh3Standard">
    <w:name w:val="FSC_h3_Standard"/>
    <w:basedOn w:val="FSCbaseheading"/>
    <w:next w:val="Normal"/>
    <w:qFormat/>
    <w:rsid w:val="00796562"/>
    <w:pPr>
      <w:spacing w:before="0" w:after="240"/>
      <w:outlineLvl w:val="2"/>
    </w:pPr>
    <w:rPr>
      <w:sz w:val="32"/>
    </w:rPr>
  </w:style>
  <w:style w:type="paragraph" w:customStyle="1" w:styleId="FSCh3Contents">
    <w:name w:val="FSC_h3_Contents"/>
    <w:basedOn w:val="FSCh3Standard"/>
    <w:rsid w:val="00796562"/>
    <w:pPr>
      <w:ind w:left="0" w:firstLine="0"/>
      <w:jc w:val="center"/>
    </w:pPr>
  </w:style>
  <w:style w:type="paragraph" w:customStyle="1" w:styleId="FSCh4Div">
    <w:name w:val="FSC_h4_Div"/>
    <w:basedOn w:val="FSCbaseheading"/>
    <w:next w:val="Normal"/>
    <w:qFormat/>
    <w:rsid w:val="00796562"/>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rsid w:val="00796562"/>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Normal"/>
    <w:qFormat/>
    <w:rsid w:val="00796562"/>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Normal"/>
    <w:qFormat/>
    <w:rsid w:val="00796562"/>
    <w:pPr>
      <w:keepLines w:val="0"/>
      <w:widowControl w:val="0"/>
      <w:spacing w:before="120" w:after="60"/>
      <w:ind w:left="1701" w:firstLine="0"/>
    </w:pPr>
    <w:rPr>
      <w:b w:val="0"/>
      <w:i/>
      <w:sz w:val="20"/>
    </w:rPr>
  </w:style>
  <w:style w:type="paragraph" w:customStyle="1" w:styleId="Footnote">
    <w:name w:val="Footnote"/>
    <w:basedOn w:val="Normal"/>
    <w:pPr>
      <w:tabs>
        <w:tab w:val="left" w:pos="851"/>
      </w:tabs>
    </w:pPr>
    <w:rPr>
      <w:sz w:val="20"/>
      <w:szCs w:val="20"/>
    </w:rPr>
  </w:style>
  <w:style w:type="paragraph" w:styleId="TOC7">
    <w:name w:val="toc 7"/>
    <w:basedOn w:val="Normal"/>
    <w:next w:val="Normal"/>
    <w:autoRedefine/>
    <w:semiHidden/>
    <w:pPr>
      <w:ind w:left="1320"/>
    </w:pPr>
    <w:rPr>
      <w:rFonts w:asciiTheme="minorHAnsi" w:hAnsiTheme="minorHAnsi"/>
      <w:sz w:val="18"/>
      <w:szCs w:val="18"/>
    </w:rPr>
  </w:style>
  <w:style w:type="paragraph" w:styleId="TOC8">
    <w:name w:val="toc 8"/>
    <w:basedOn w:val="Normal"/>
    <w:next w:val="Normal"/>
    <w:autoRedefine/>
    <w:semiHidden/>
    <w:pPr>
      <w:ind w:left="1540"/>
    </w:pPr>
    <w:rPr>
      <w:rFonts w:asciiTheme="minorHAnsi" w:hAnsiTheme="minorHAnsi"/>
      <w:sz w:val="18"/>
      <w:szCs w:val="18"/>
    </w:rPr>
  </w:style>
  <w:style w:type="paragraph" w:styleId="TOC9">
    <w:name w:val="toc 9"/>
    <w:basedOn w:val="Normal"/>
    <w:next w:val="Normal"/>
    <w:autoRedefine/>
    <w:semiHidden/>
    <w:pPr>
      <w:ind w:left="1760"/>
    </w:pPr>
    <w:rPr>
      <w:rFonts w:asciiTheme="minorHAnsi" w:hAnsiTheme="minorHAnsi"/>
      <w:sz w:val="18"/>
      <w:szCs w:val="18"/>
    </w:rPr>
  </w:style>
  <w:style w:type="paragraph" w:styleId="FootnoteText">
    <w:name w:val="footnote text"/>
    <w:basedOn w:val="Normal"/>
    <w:semiHidden/>
    <w:rPr>
      <w:sz w:val="20"/>
      <w:szCs w:val="20"/>
    </w:rPr>
  </w:style>
  <w:style w:type="character" w:styleId="FootnoteReference">
    <w:name w:val="footnote reference"/>
    <w:basedOn w:val="DefaultParagraphFont"/>
    <w:semiHidden/>
    <w:rPr>
      <w:vertAlign w:val="superscript"/>
    </w:r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unhideWhenUsed/>
    <w:qFormat/>
    <w:rsid w:val="002A3314"/>
    <w:pPr>
      <w:jc w:val="center"/>
      <w:outlineLvl w:val="9"/>
    </w:pPr>
  </w:style>
  <w:style w:type="paragraph" w:customStyle="1" w:styleId="FSCtMain">
    <w:name w:val="FSC_t_Main"/>
    <w:basedOn w:val="FSCbasepara"/>
    <w:rsid w:val="00796562"/>
    <w:pPr>
      <w:keepLines w:val="0"/>
      <w:widowControl w:val="0"/>
      <w:tabs>
        <w:tab w:val="left" w:pos="1134"/>
      </w:tabs>
      <w:spacing w:after="120"/>
    </w:pPr>
  </w:style>
  <w:style w:type="paragraph" w:customStyle="1" w:styleId="FSCnatHeading">
    <w:name w:val="FSC_n_at_Heading"/>
    <w:basedOn w:val="FSCtMain"/>
    <w:qFormat/>
    <w:rsid w:val="00796562"/>
    <w:pPr>
      <w:ind w:left="851" w:hanging="851"/>
    </w:pPr>
    <w:rPr>
      <w:sz w:val="16"/>
    </w:rPr>
  </w:style>
  <w:style w:type="table" w:styleId="TableGrid">
    <w:name w:val="Table Grid"/>
    <w:basedOn w:val="TableNormal"/>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rsid w:val="00AF387F"/>
    <w:rPr>
      <w:sz w:val="16"/>
      <w:szCs w:val="16"/>
    </w:rPr>
  </w:style>
  <w:style w:type="paragraph" w:customStyle="1" w:styleId="FSCtPara">
    <w:name w:val="FSC_t_Para"/>
    <w:basedOn w:val="FSCtMain"/>
    <w:qFormat/>
    <w:rsid w:val="00796562"/>
    <w:pPr>
      <w:tabs>
        <w:tab w:val="clear" w:pos="1134"/>
        <w:tab w:val="left" w:pos="1701"/>
      </w:tabs>
      <w:spacing w:before="60" w:after="60"/>
      <w:ind w:left="2268" w:hanging="2268"/>
    </w:pPr>
  </w:style>
  <w:style w:type="paragraph" w:customStyle="1" w:styleId="FSCnMain">
    <w:name w:val="FSC_n_Main"/>
    <w:basedOn w:val="FSCtPara"/>
    <w:qFormat/>
    <w:rsid w:val="00796562"/>
    <w:rPr>
      <w:iCs w:val="0"/>
      <w:sz w:val="16"/>
      <w:szCs w:val="18"/>
    </w:rPr>
  </w:style>
  <w:style w:type="paragraph" w:customStyle="1" w:styleId="FSCtSubpara">
    <w:name w:val="FSC_t_Subpara"/>
    <w:basedOn w:val="FSCtMain"/>
    <w:qFormat/>
    <w:rsid w:val="00796562"/>
    <w:pPr>
      <w:tabs>
        <w:tab w:val="clear" w:pos="1134"/>
        <w:tab w:val="left" w:pos="2268"/>
      </w:tabs>
      <w:spacing w:before="60" w:after="60"/>
      <w:ind w:left="2835" w:hanging="2835"/>
    </w:pPr>
  </w:style>
  <w:style w:type="paragraph" w:customStyle="1" w:styleId="FSCnPara">
    <w:name w:val="FSC_n_Para"/>
    <w:basedOn w:val="FSCtSubpara"/>
    <w:qFormat/>
    <w:rsid w:val="00796562"/>
    <w:rPr>
      <w:sz w:val="16"/>
    </w:rPr>
  </w:style>
  <w:style w:type="paragraph" w:customStyle="1" w:styleId="FSCtSubsub">
    <w:name w:val="FSC_t_Subsub"/>
    <w:basedOn w:val="FSCtPara"/>
    <w:qFormat/>
    <w:rsid w:val="00796562"/>
    <w:pPr>
      <w:tabs>
        <w:tab w:val="clear" w:pos="1701"/>
        <w:tab w:val="left" w:pos="2835"/>
      </w:tabs>
      <w:ind w:left="3402" w:hanging="3402"/>
    </w:pPr>
  </w:style>
  <w:style w:type="paragraph" w:customStyle="1" w:styleId="FSCnSubpara">
    <w:name w:val="FSC_n_Subpara"/>
    <w:basedOn w:val="FSCtSubsub"/>
    <w:qFormat/>
    <w:rsid w:val="00796562"/>
    <w:rPr>
      <w:sz w:val="16"/>
    </w:rPr>
  </w:style>
  <w:style w:type="paragraph" w:customStyle="1" w:styleId="FSBullet1">
    <w:name w:val="FSBullet 1"/>
    <w:basedOn w:val="Normal"/>
    <w:next w:val="Normal"/>
    <w:link w:val="FSBullet1Char"/>
    <w:qFormat/>
    <w:rsid w:val="0029631C"/>
    <w:pPr>
      <w:widowControl/>
      <w:numPr>
        <w:numId w:val="1"/>
      </w:numPr>
      <w:ind w:left="567" w:hanging="567"/>
    </w:pPr>
    <w:rPr>
      <w:rFonts w:cs="Arial"/>
      <w:lang w:bidi="ar-SA"/>
    </w:rPr>
  </w:style>
  <w:style w:type="character" w:customStyle="1" w:styleId="FSBullet1Char">
    <w:name w:val="FSBullet 1 Char"/>
    <w:link w:val="FSBullet1"/>
    <w:rsid w:val="0029631C"/>
    <w:rPr>
      <w:rFonts w:ascii="Arial" w:hAnsi="Arial" w:cs="Arial"/>
      <w:sz w:val="22"/>
      <w:szCs w:val="24"/>
      <w:lang w:eastAsia="en-US"/>
    </w:rPr>
  </w:style>
  <w:style w:type="paragraph" w:customStyle="1" w:styleId="FSBullet2">
    <w:name w:val="FSBullet 2"/>
    <w:basedOn w:val="Normal"/>
    <w:qFormat/>
    <w:rsid w:val="0029631C"/>
    <w:pPr>
      <w:widowControl/>
      <w:numPr>
        <w:numId w:val="2"/>
      </w:numPr>
      <w:ind w:left="1134" w:hanging="567"/>
    </w:pPr>
    <w:rPr>
      <w:rFonts w:eastAsia="Calibri"/>
      <w:szCs w:val="22"/>
      <w:lang w:bidi="ar-SA"/>
    </w:rPr>
  </w:style>
  <w:style w:type="paragraph" w:customStyle="1" w:styleId="FSBullet3">
    <w:name w:val="FSBullet 3"/>
    <w:basedOn w:val="Normal"/>
    <w:qFormat/>
    <w:rsid w:val="0029631C"/>
    <w:pPr>
      <w:keepNext/>
      <w:widowControl/>
      <w:numPr>
        <w:numId w:val="3"/>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customStyle="1" w:styleId="HeaderChar">
    <w:name w:val="Header Char"/>
    <w:basedOn w:val="DefaultParagraphFont"/>
    <w:link w:val="Header"/>
    <w:rsid w:val="007D03EA"/>
    <w:rPr>
      <w:rFonts w:ascii="Arial" w:hAnsi="Arial"/>
      <w:sz w:val="22"/>
      <w:szCs w:val="24"/>
      <w:lang w:eastAsia="en-US" w:bidi="en-US"/>
    </w:rPr>
  </w:style>
  <w:style w:type="paragraph" w:customStyle="1" w:styleId="FSCnSubsub">
    <w:name w:val="FSC_n_Subsub"/>
    <w:basedOn w:val="FSCnSubpara"/>
    <w:qFormat/>
    <w:rsid w:val="00796562"/>
    <w:pPr>
      <w:tabs>
        <w:tab w:val="clear" w:pos="2835"/>
        <w:tab w:val="left" w:pos="3402"/>
      </w:tabs>
      <w:ind w:left="3969" w:hanging="3969"/>
    </w:pPr>
  </w:style>
  <w:style w:type="paragraph" w:customStyle="1" w:styleId="FSCoContents">
    <w:name w:val="FSC_o_Contents"/>
    <w:basedOn w:val="FSCh2Part"/>
    <w:rsid w:val="00796562"/>
    <w:pPr>
      <w:ind w:left="0" w:firstLine="0"/>
      <w:jc w:val="center"/>
    </w:pPr>
  </w:style>
  <w:style w:type="paragraph" w:customStyle="1" w:styleId="FSCoDraftstrip">
    <w:name w:val="FSC_o_Draft_strip"/>
    <w:basedOn w:val="Normal"/>
    <w:rsid w:val="00796562"/>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rsid w:val="00796562"/>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rsid w:val="00796562"/>
    <w:pPr>
      <w:widowControl/>
      <w:spacing w:before="80"/>
    </w:pPr>
    <w:rPr>
      <w:color w:val="7030A0"/>
      <w:lang w:eastAsia="en-AU" w:bidi="ar-SA"/>
    </w:rPr>
  </w:style>
  <w:style w:type="paragraph" w:customStyle="1" w:styleId="FSCoFooter">
    <w:name w:val="FSC_o_Footer"/>
    <w:basedOn w:val="Normal"/>
    <w:rsid w:val="00796562"/>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rsid w:val="00796562"/>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rsid w:val="00796562"/>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796562"/>
    <w:rPr>
      <w:rFonts w:ascii="Arial" w:hAnsi="Arial"/>
      <w:b/>
      <w:noProof/>
      <w:szCs w:val="24"/>
      <w:lang w:eastAsia="en-AU"/>
    </w:rPr>
  </w:style>
  <w:style w:type="paragraph" w:customStyle="1" w:styleId="FSCoParaMark">
    <w:name w:val="FSC_o_Para_Mark"/>
    <w:basedOn w:val="Normal"/>
    <w:next w:val="Normal"/>
    <w:qFormat/>
    <w:rsid w:val="00796562"/>
    <w:pPr>
      <w:widowControl/>
    </w:pPr>
    <w:rPr>
      <w:sz w:val="16"/>
      <w:lang w:eastAsia="en-AU" w:bidi="ar-SA"/>
    </w:rPr>
  </w:style>
  <w:style w:type="paragraph" w:customStyle="1" w:styleId="FSCoStandardEnd">
    <w:name w:val="FSC_o_Standard_End"/>
    <w:basedOn w:val="FSCtMain"/>
    <w:qFormat/>
    <w:rsid w:val="00796562"/>
    <w:pPr>
      <w:spacing w:before="240" w:after="0"/>
      <w:jc w:val="center"/>
    </w:pPr>
    <w:rPr>
      <w:iCs w:val="0"/>
    </w:rPr>
  </w:style>
  <w:style w:type="paragraph" w:customStyle="1" w:styleId="FSCoTitleofInstrument">
    <w:name w:val="FSC_o_Title_of_Instrument"/>
    <w:basedOn w:val="Normal"/>
    <w:rsid w:val="00796562"/>
    <w:pPr>
      <w:widowControl/>
      <w:spacing w:before="200"/>
    </w:pPr>
    <w:rPr>
      <w:b/>
      <w:sz w:val="32"/>
      <w:lang w:eastAsia="en-AU" w:bidi="ar-SA"/>
    </w:rPr>
  </w:style>
  <w:style w:type="paragraph" w:customStyle="1" w:styleId="FSCoutChap">
    <w:name w:val="FSC_out_Chap"/>
    <w:basedOn w:val="FSCh4Div"/>
    <w:qFormat/>
    <w:rsid w:val="00796562"/>
    <w:pPr>
      <w:tabs>
        <w:tab w:val="left" w:pos="1701"/>
      </w:tabs>
      <w:spacing w:after="120"/>
      <w:ind w:left="3402" w:hanging="3402"/>
    </w:pPr>
  </w:style>
  <w:style w:type="paragraph" w:customStyle="1" w:styleId="FSCoutPart">
    <w:name w:val="FSC_out_Part"/>
    <w:basedOn w:val="FSCh5Section"/>
    <w:qFormat/>
    <w:rsid w:val="00796562"/>
    <w:pPr>
      <w:keepNext w:val="0"/>
      <w:tabs>
        <w:tab w:val="left" w:pos="1701"/>
      </w:tabs>
      <w:ind w:left="3402" w:hanging="3402"/>
    </w:pPr>
  </w:style>
  <w:style w:type="paragraph" w:customStyle="1" w:styleId="FSCoutStand">
    <w:name w:val="FSC_out_Stand"/>
    <w:basedOn w:val="FSCtMain"/>
    <w:qFormat/>
    <w:rsid w:val="00796562"/>
    <w:pPr>
      <w:tabs>
        <w:tab w:val="clear" w:pos="1134"/>
        <w:tab w:val="left" w:pos="1701"/>
      </w:tabs>
      <w:ind w:left="3402" w:hanging="3402"/>
    </w:pPr>
  </w:style>
  <w:style w:type="paragraph" w:customStyle="1" w:styleId="FSCtDefn">
    <w:name w:val="FSC_t_Defn"/>
    <w:basedOn w:val="FSCtMain"/>
    <w:rsid w:val="00796562"/>
    <w:pPr>
      <w:ind w:firstLine="0"/>
    </w:pPr>
  </w:style>
  <w:style w:type="paragraph" w:customStyle="1" w:styleId="FSCtblAddh1">
    <w:name w:val="FSC_tbl_Add_h1"/>
    <w:basedOn w:val="FSCh4Div"/>
    <w:rsid w:val="00796562"/>
    <w:pPr>
      <w:spacing w:before="120" w:after="120"/>
    </w:pPr>
    <w:rPr>
      <w:rFonts w:eastAsiaTheme="minorHAnsi"/>
      <w:sz w:val="20"/>
      <w:lang w:eastAsia="en-US"/>
    </w:rPr>
  </w:style>
  <w:style w:type="paragraph" w:customStyle="1" w:styleId="FSCtblAddh2">
    <w:name w:val="FSC_tbl_Add_h2"/>
    <w:basedOn w:val="FSCtblAddh1"/>
    <w:rsid w:val="00796562"/>
    <w:pPr>
      <w:spacing w:before="60" w:after="60"/>
    </w:pPr>
    <w:rPr>
      <w:i/>
    </w:rPr>
  </w:style>
  <w:style w:type="paragraph" w:customStyle="1" w:styleId="FSCtblAddh3">
    <w:name w:val="FSC_tbl_Add_h3"/>
    <w:basedOn w:val="Normal"/>
    <w:rsid w:val="00796562"/>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rsid w:val="00796562"/>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rsid w:val="00796562"/>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rsid w:val="00796562"/>
    <w:pPr>
      <w:keepLines/>
      <w:widowControl/>
      <w:spacing w:before="20" w:after="20"/>
    </w:pPr>
    <w:rPr>
      <w:rFonts w:eastAsiaTheme="minorHAnsi" w:cs="Arial"/>
      <w:sz w:val="18"/>
      <w:szCs w:val="22"/>
      <w:lang w:bidi="ar-SA"/>
    </w:rPr>
  </w:style>
  <w:style w:type="paragraph" w:customStyle="1" w:styleId="FSCtblAdd2">
    <w:name w:val="FSC_tbl_Add2"/>
    <w:basedOn w:val="Normal"/>
    <w:qFormat/>
    <w:rsid w:val="00796562"/>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rsid w:val="00796562"/>
    <w:pPr>
      <w:keepNext/>
      <w:widowControl/>
      <w:spacing w:after="60"/>
    </w:pPr>
    <w:rPr>
      <w:rFonts w:eastAsia="Calibri"/>
      <w:b/>
      <w:sz w:val="16"/>
      <w:szCs w:val="20"/>
      <w:lang w:eastAsia="en-AU" w:bidi="ar-SA"/>
    </w:rPr>
  </w:style>
  <w:style w:type="paragraph" w:customStyle="1" w:styleId="FSCtblAmendmain">
    <w:name w:val="FSC_tbl_Amend_main"/>
    <w:basedOn w:val="Normal"/>
    <w:qFormat/>
    <w:rsid w:val="00796562"/>
    <w:pPr>
      <w:widowControl/>
      <w:ind w:left="113" w:hanging="113"/>
    </w:pPr>
    <w:rPr>
      <w:bCs/>
      <w:sz w:val="16"/>
      <w:szCs w:val="20"/>
      <w:lang w:bidi="ar-SA"/>
    </w:rPr>
  </w:style>
  <w:style w:type="paragraph" w:customStyle="1" w:styleId="FSCtblh2">
    <w:name w:val="FSC_tbl_h2"/>
    <w:basedOn w:val="Normal"/>
    <w:qFormat/>
    <w:rsid w:val="00796562"/>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rsid w:val="00796562"/>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rsid w:val="00796562"/>
    <w:pPr>
      <w:keepNext/>
      <w:keepLines/>
      <w:widowControl/>
      <w:spacing w:before="60" w:after="60"/>
    </w:pPr>
    <w:rPr>
      <w:rFonts w:cs="Arial"/>
      <w:i/>
      <w:sz w:val="18"/>
      <w:szCs w:val="22"/>
      <w:lang w:eastAsia="en-AU" w:bidi="ar-SA"/>
    </w:rPr>
  </w:style>
  <w:style w:type="paragraph" w:customStyle="1" w:styleId="FSCtblMain">
    <w:name w:val="FSC_tbl_Main"/>
    <w:basedOn w:val="Normal"/>
    <w:rsid w:val="00796562"/>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rsid w:val="00796562"/>
    <w:pPr>
      <w:jc w:val="center"/>
    </w:pPr>
    <w:rPr>
      <w:rFonts w:eastAsiaTheme="minorHAnsi"/>
      <w:lang w:eastAsia="en-US"/>
    </w:rPr>
  </w:style>
  <w:style w:type="paragraph" w:customStyle="1" w:styleId="FSCtblMainRH">
    <w:name w:val="FSC_tbl_Main_RH"/>
    <w:basedOn w:val="FSCtblMain"/>
    <w:qFormat/>
    <w:rsid w:val="00796562"/>
    <w:pPr>
      <w:jc w:val="right"/>
    </w:pPr>
    <w:rPr>
      <w:rFonts w:eastAsiaTheme="minorHAnsi"/>
      <w:lang w:eastAsia="en-US"/>
    </w:rPr>
  </w:style>
  <w:style w:type="paragraph" w:customStyle="1" w:styleId="FSCtblMRL1">
    <w:name w:val="FSC_tbl_MRL1"/>
    <w:basedOn w:val="Normal"/>
    <w:rsid w:val="00796562"/>
    <w:pPr>
      <w:keepLines/>
      <w:widowControl/>
      <w:spacing w:before="20" w:after="20"/>
    </w:pPr>
    <w:rPr>
      <w:rFonts w:cs="Arial"/>
      <w:sz w:val="18"/>
      <w:szCs w:val="20"/>
      <w:lang w:eastAsia="en-AU" w:bidi="ar-SA"/>
    </w:rPr>
  </w:style>
  <w:style w:type="paragraph" w:customStyle="1" w:styleId="FSCtblMRL2">
    <w:name w:val="FSC_tbl_MRL2"/>
    <w:basedOn w:val="FSCtblMRL1"/>
    <w:qFormat/>
    <w:rsid w:val="00796562"/>
    <w:pPr>
      <w:jc w:val="right"/>
    </w:pPr>
    <w:rPr>
      <w:rFonts w:eastAsiaTheme="minorHAnsi"/>
      <w:lang w:eastAsia="en-US"/>
    </w:rPr>
  </w:style>
  <w:style w:type="paragraph" w:customStyle="1" w:styleId="FSCtblPara">
    <w:name w:val="FSC_tbl_Para"/>
    <w:basedOn w:val="Normal"/>
    <w:rsid w:val="00796562"/>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rsid w:val="00796562"/>
    <w:pPr>
      <w:keepLines/>
      <w:widowControl/>
      <w:spacing w:before="60" w:after="60"/>
      <w:ind w:left="794" w:hanging="397"/>
    </w:pPr>
    <w:rPr>
      <w:rFonts w:cs="Arial"/>
      <w:sz w:val="18"/>
      <w:szCs w:val="22"/>
      <w:lang w:eastAsia="en-AU" w:bidi="ar-SA"/>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rPr>
      <w:rFonts w:ascii="Arial" w:hAnsi="Arial"/>
      <w:lang w:eastAsia="en-US" w:bidi="en-US"/>
    </w:rPr>
  </w:style>
  <w:style w:type="paragraph" w:styleId="ListParagraph">
    <w:name w:val="List Paragraph"/>
    <w:basedOn w:val="Normal"/>
    <w:uiPriority w:val="34"/>
    <w:rsid w:val="00034724"/>
    <w:pPr>
      <w:ind w:left="720"/>
      <w:contextualSpacing/>
    </w:pPr>
  </w:style>
  <w:style w:type="paragraph" w:styleId="CommentSubject">
    <w:name w:val="annotation subject"/>
    <w:basedOn w:val="CommentText"/>
    <w:next w:val="CommentText"/>
    <w:link w:val="CommentSubjectChar"/>
    <w:rsid w:val="00BF7BCF"/>
    <w:rPr>
      <w:b/>
      <w:bCs/>
    </w:rPr>
  </w:style>
  <w:style w:type="character" w:customStyle="1" w:styleId="CommentSubjectChar">
    <w:name w:val="Comment Subject Char"/>
    <w:basedOn w:val="CommentTextChar"/>
    <w:link w:val="CommentSubject"/>
    <w:rsid w:val="00BF7BCF"/>
    <w:rPr>
      <w:rFonts w:ascii="Arial" w:hAnsi="Arial"/>
      <w:b/>
      <w:bCs/>
      <w:lang w:eastAsia="en-US" w:bidi="en-US"/>
    </w:rPr>
  </w:style>
  <w:style w:type="paragraph" w:styleId="Revision">
    <w:name w:val="Revision"/>
    <w:hidden/>
    <w:uiPriority w:val="99"/>
    <w:semiHidden/>
    <w:rsid w:val="00F05C8F"/>
    <w:rPr>
      <w:rFonts w:ascii="Arial" w:hAnsi="Arial"/>
      <w:sz w:val="22"/>
      <w:szCs w:val="24"/>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6987024">
      <w:bodyDiv w:val="1"/>
      <w:marLeft w:val="0"/>
      <w:marRight w:val="0"/>
      <w:marTop w:val="0"/>
      <w:marBottom w:val="0"/>
      <w:divBdr>
        <w:top w:val="none" w:sz="0" w:space="0" w:color="auto"/>
        <w:left w:val="none" w:sz="0" w:space="0" w:color="auto"/>
        <w:bottom w:val="none" w:sz="0" w:space="0" w:color="auto"/>
        <w:right w:val="none" w:sz="0" w:space="0" w:color="auto"/>
      </w:divBdr>
    </w:div>
    <w:div w:id="1602296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89CCD19-F35C-4430-9F14-EAAE2B3B594B}"/>
</file>

<file path=customXml/itemProps2.xml><?xml version="1.0" encoding="utf-8"?>
<ds:datastoreItem xmlns:ds="http://schemas.openxmlformats.org/officeDocument/2006/customXml" ds:itemID="{A5E83593-36C0-4F29-ABAC-4FD713CFA98E}"/>
</file>

<file path=customXml/itemProps3.xml><?xml version="1.0" encoding="utf-8"?>
<ds:datastoreItem xmlns:ds="http://schemas.openxmlformats.org/officeDocument/2006/customXml" ds:itemID="{93CB21C3-A988-4AD8-9C95-94472895E3FA}"/>
</file>

<file path=customXml/itemProps4.xml><?xml version="1.0" encoding="utf-8"?>
<ds:datastoreItem xmlns:ds="http://schemas.openxmlformats.org/officeDocument/2006/customXml" ds:itemID="{09F77E17-4DC1-4C73-869E-163E8D4CFD42}"/>
</file>

<file path=docProps/app.xml><?xml version="1.0" encoding="utf-8"?>
<Properties xmlns="http://schemas.openxmlformats.org/officeDocument/2006/extended-properties" xmlns:vt="http://schemas.openxmlformats.org/officeDocument/2006/docPropsVTypes">
  <Template>Normal</Template>
  <TotalTime>0</TotalTime>
  <Pages>9</Pages>
  <Words>3059</Words>
  <Characters>17442</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20461</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A1126 Pectins,carrageens as PAs in wine SD1 Risk and tech assess</dc:title>
  <dc:creator/>
  <cp:keywords/>
  <cp:lastModifiedBy/>
  <cp:revision>1</cp:revision>
  <dcterms:created xsi:type="dcterms:W3CDTF">2017-02-14T23:14:00Z</dcterms:created>
  <dcterms:modified xsi:type="dcterms:W3CDTF">2017-02-14T23:14:00Z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0x010100CB2FFA9FD6109347A9495CD5860AFAE6</vt:lpwstr>
  </property>
</Properties>
</file>